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2A" w:rsidRDefault="00580C2A">
      <w:pPr>
        <w:pBdr>
          <w:top w:val="nil"/>
          <w:left w:val="nil"/>
          <w:bottom w:val="nil"/>
          <w:right w:val="nil"/>
          <w:between w:val="nil"/>
        </w:pBdr>
        <w:ind w:right="182"/>
        <w:rPr>
          <w:rFonts w:ascii="Arial" w:eastAsia="Arial" w:hAnsi="Arial" w:cs="Arial"/>
          <w:b/>
          <w:color w:val="000000"/>
          <w:sz w:val="28"/>
          <w:szCs w:val="28"/>
        </w:rPr>
      </w:pPr>
      <w:bookmarkStart w:id="0" w:name="_gjdgxs" w:colFirst="0" w:colLast="0"/>
      <w:bookmarkStart w:id="1" w:name="_GoBack"/>
      <w:bookmarkEnd w:id="0"/>
      <w:bookmarkEnd w:id="1"/>
    </w:p>
    <w:p w:rsidR="00580C2A" w:rsidRDefault="003F6B74">
      <w:pPr>
        <w:pBdr>
          <w:top w:val="nil"/>
          <w:left w:val="nil"/>
          <w:bottom w:val="nil"/>
          <w:right w:val="nil"/>
          <w:between w:val="nil"/>
        </w:pBdr>
        <w:ind w:right="182"/>
        <w:rPr>
          <w:rFonts w:ascii="Arial" w:eastAsia="Arial" w:hAnsi="Arial" w:cs="Arial"/>
          <w:b/>
          <w:color w:val="000000"/>
          <w:sz w:val="28"/>
          <w:szCs w:val="28"/>
        </w:rPr>
      </w:pPr>
      <w:r>
        <w:rPr>
          <w:rFonts w:ascii="Arial" w:eastAsia="Arial" w:hAnsi="Arial" w:cs="Arial"/>
          <w:b/>
          <w:color w:val="000000"/>
          <w:sz w:val="28"/>
          <w:szCs w:val="28"/>
        </w:rPr>
        <w:t>Proposed General Education “Pass Along” Policy</w:t>
      </w:r>
    </w:p>
    <w:p w:rsidR="00580C2A" w:rsidRDefault="00580C2A">
      <w:pPr>
        <w:pBdr>
          <w:top w:val="nil"/>
          <w:left w:val="nil"/>
          <w:bottom w:val="nil"/>
          <w:right w:val="nil"/>
          <w:between w:val="nil"/>
        </w:pBdr>
        <w:ind w:right="182"/>
        <w:rPr>
          <w:rFonts w:ascii="Arial" w:eastAsia="Arial" w:hAnsi="Arial" w:cs="Arial"/>
          <w:color w:val="000000"/>
          <w:sz w:val="28"/>
          <w:szCs w:val="28"/>
        </w:rPr>
      </w:pPr>
    </w:p>
    <w:p w:rsidR="00580C2A" w:rsidRDefault="003F6B74">
      <w:pPr>
        <w:pBdr>
          <w:top w:val="nil"/>
          <w:left w:val="nil"/>
          <w:bottom w:val="nil"/>
          <w:right w:val="nil"/>
          <w:between w:val="nil"/>
        </w:pBdr>
        <w:ind w:right="182"/>
        <w:rPr>
          <w:rFonts w:ascii="Arial" w:eastAsia="Arial" w:hAnsi="Arial" w:cs="Arial"/>
          <w:color w:val="000000"/>
          <w:sz w:val="28"/>
          <w:szCs w:val="28"/>
        </w:rPr>
      </w:pPr>
      <w:r>
        <w:rPr>
          <w:rFonts w:ascii="Arial" w:eastAsia="Arial" w:hAnsi="Arial" w:cs="Arial"/>
          <w:color w:val="000000"/>
          <w:sz w:val="28"/>
          <w:szCs w:val="28"/>
        </w:rPr>
        <w:t>The Fullerton College Curriculum Committee, in support of the work of the GE Subcommittee, recommends the following General Education Pass-Along Policy:</w:t>
      </w:r>
    </w:p>
    <w:p w:rsidR="00580C2A" w:rsidRDefault="00580C2A">
      <w:pPr>
        <w:pBdr>
          <w:top w:val="nil"/>
          <w:left w:val="nil"/>
          <w:bottom w:val="nil"/>
          <w:right w:val="nil"/>
          <w:between w:val="nil"/>
        </w:pBdr>
        <w:ind w:right="182"/>
        <w:rPr>
          <w:rFonts w:ascii="Arial" w:eastAsia="Arial" w:hAnsi="Arial" w:cs="Arial"/>
          <w:color w:val="000000"/>
          <w:sz w:val="28"/>
          <w:szCs w:val="28"/>
        </w:rPr>
      </w:pPr>
    </w:p>
    <w:p w:rsidR="00580C2A" w:rsidRDefault="00580C2A">
      <w:pPr>
        <w:tabs>
          <w:tab w:val="left" w:pos="840"/>
        </w:tabs>
        <w:ind w:right="932"/>
        <w:rPr>
          <w:rFonts w:ascii="Arial" w:eastAsia="Arial" w:hAnsi="Arial" w:cs="Arial"/>
          <w:sz w:val="28"/>
          <w:szCs w:val="28"/>
        </w:rPr>
      </w:pPr>
    </w:p>
    <w:p w:rsidR="00580C2A" w:rsidRDefault="003F6B74">
      <w:pPr>
        <w:tabs>
          <w:tab w:val="left" w:pos="840"/>
        </w:tabs>
        <w:ind w:right="932"/>
        <w:rPr>
          <w:rFonts w:ascii="Arial" w:eastAsia="Arial" w:hAnsi="Arial" w:cs="Arial"/>
          <w:i/>
          <w:sz w:val="28"/>
          <w:szCs w:val="28"/>
        </w:rPr>
      </w:pPr>
      <w:r>
        <w:rPr>
          <w:rFonts w:ascii="Arial" w:eastAsia="Arial" w:hAnsi="Arial" w:cs="Arial"/>
          <w:i/>
          <w:sz w:val="28"/>
          <w:szCs w:val="28"/>
        </w:rPr>
        <w:t>Students may satisfy the requirements for any Fullerton College general education area (A-D) through submission of an official transcript that demonstrates completion of a GE course at another regionally accredited college/university</w:t>
      </w:r>
    </w:p>
    <w:p w:rsidR="00580C2A" w:rsidRDefault="003F6B74">
      <w:pPr>
        <w:tabs>
          <w:tab w:val="left" w:pos="840"/>
        </w:tabs>
        <w:ind w:right="932"/>
        <w:rPr>
          <w:rFonts w:ascii="Arial" w:eastAsia="Arial" w:hAnsi="Arial" w:cs="Arial"/>
          <w:i/>
          <w:sz w:val="28"/>
          <w:szCs w:val="28"/>
        </w:rPr>
      </w:pPr>
      <w:proofErr w:type="gramStart"/>
      <w:r>
        <w:rPr>
          <w:rFonts w:ascii="Arial" w:eastAsia="Arial" w:hAnsi="Arial" w:cs="Arial"/>
          <w:i/>
          <w:sz w:val="28"/>
          <w:szCs w:val="28"/>
        </w:rPr>
        <w:t>if</w:t>
      </w:r>
      <w:proofErr w:type="gramEnd"/>
      <w:r>
        <w:rPr>
          <w:rFonts w:ascii="Arial" w:eastAsia="Arial" w:hAnsi="Arial" w:cs="Arial"/>
          <w:i/>
          <w:sz w:val="28"/>
          <w:szCs w:val="28"/>
        </w:rPr>
        <w:t xml:space="preserve"> it can be determine</w:t>
      </w:r>
      <w:r>
        <w:rPr>
          <w:rFonts w:ascii="Arial" w:eastAsia="Arial" w:hAnsi="Arial" w:cs="Arial"/>
          <w:i/>
          <w:sz w:val="28"/>
          <w:szCs w:val="28"/>
        </w:rPr>
        <w:t>d that the course clearly fits the criteria for a specific GE area on the “Fullerton College Associate Degree General Education Subject Areas and Course Guidelines”.</w:t>
      </w:r>
    </w:p>
    <w:p w:rsidR="00580C2A" w:rsidRDefault="00580C2A">
      <w:pPr>
        <w:pBdr>
          <w:top w:val="nil"/>
          <w:left w:val="nil"/>
          <w:bottom w:val="nil"/>
          <w:right w:val="nil"/>
          <w:between w:val="nil"/>
        </w:pBdr>
        <w:rPr>
          <w:rFonts w:ascii="Arial" w:eastAsia="Arial" w:hAnsi="Arial" w:cs="Arial"/>
          <w:i/>
          <w:color w:val="000000"/>
          <w:sz w:val="28"/>
          <w:szCs w:val="28"/>
        </w:rPr>
      </w:pPr>
    </w:p>
    <w:p w:rsidR="00580C2A" w:rsidRDefault="003F6B74">
      <w:pPr>
        <w:pBdr>
          <w:top w:val="nil"/>
          <w:left w:val="nil"/>
          <w:bottom w:val="nil"/>
          <w:right w:val="nil"/>
          <w:between w:val="nil"/>
        </w:pBdr>
        <w:ind w:right="932"/>
        <w:rPr>
          <w:rFonts w:ascii="Arial" w:eastAsia="Arial" w:hAnsi="Arial" w:cs="Arial"/>
          <w:i/>
          <w:color w:val="000000"/>
          <w:sz w:val="28"/>
          <w:szCs w:val="28"/>
        </w:rPr>
      </w:pPr>
      <w:r>
        <w:rPr>
          <w:rFonts w:ascii="Arial" w:eastAsia="Arial" w:hAnsi="Arial" w:cs="Arial"/>
          <w:i/>
          <w:color w:val="000000"/>
          <w:sz w:val="28"/>
          <w:szCs w:val="28"/>
        </w:rPr>
        <w:t>The Articulation Officer will determine if a course will meet the requirements for “Fulle</w:t>
      </w:r>
      <w:r>
        <w:rPr>
          <w:rFonts w:ascii="Arial" w:eastAsia="Arial" w:hAnsi="Arial" w:cs="Arial"/>
          <w:i/>
          <w:color w:val="000000"/>
          <w:sz w:val="28"/>
          <w:szCs w:val="28"/>
        </w:rPr>
        <w:t>rton College Associate Degree General Education Subject Areas and Course Guidelines” in consultation with discipline faculty as needed.</w:t>
      </w:r>
    </w:p>
    <w:p w:rsidR="00580C2A" w:rsidRDefault="00580C2A">
      <w:pPr>
        <w:pBdr>
          <w:top w:val="nil"/>
          <w:left w:val="nil"/>
          <w:bottom w:val="nil"/>
          <w:right w:val="nil"/>
          <w:between w:val="nil"/>
        </w:pBdr>
        <w:ind w:right="932"/>
        <w:rPr>
          <w:rFonts w:ascii="Arial" w:eastAsia="Arial" w:hAnsi="Arial" w:cs="Arial"/>
          <w:color w:val="000000"/>
          <w:sz w:val="28"/>
          <w:szCs w:val="28"/>
        </w:rPr>
      </w:pPr>
    </w:p>
    <w:p w:rsidR="00580C2A" w:rsidRDefault="00580C2A">
      <w:pPr>
        <w:pBdr>
          <w:top w:val="nil"/>
          <w:left w:val="nil"/>
          <w:bottom w:val="nil"/>
          <w:right w:val="nil"/>
          <w:between w:val="nil"/>
        </w:pBdr>
        <w:ind w:right="932"/>
        <w:rPr>
          <w:rFonts w:ascii="Arial" w:eastAsia="Arial" w:hAnsi="Arial" w:cs="Arial"/>
          <w:color w:val="000000"/>
          <w:sz w:val="28"/>
          <w:szCs w:val="28"/>
        </w:rPr>
      </w:pPr>
    </w:p>
    <w:p w:rsidR="00580C2A" w:rsidRDefault="003F6B74">
      <w:pPr>
        <w:pBdr>
          <w:top w:val="nil"/>
          <w:left w:val="nil"/>
          <w:bottom w:val="nil"/>
          <w:right w:val="nil"/>
          <w:between w:val="nil"/>
        </w:pBdr>
        <w:ind w:right="932"/>
        <w:rPr>
          <w:rFonts w:ascii="Arial" w:eastAsia="Arial" w:hAnsi="Arial" w:cs="Arial"/>
          <w:color w:val="000000"/>
          <w:sz w:val="28"/>
          <w:szCs w:val="28"/>
        </w:rPr>
      </w:pPr>
      <w:r>
        <w:rPr>
          <w:rFonts w:ascii="Arial" w:eastAsia="Arial" w:hAnsi="Arial" w:cs="Arial"/>
          <w:color w:val="000000"/>
          <w:sz w:val="28"/>
          <w:szCs w:val="28"/>
        </w:rPr>
        <w:t>It is proposed that the attached draft of the “Fullerton College Associate Degree General Education Subject Areas and Course Guidelines” would be used for the evaluation of other college transcripts to determine what courses taken at other regionally accre</w:t>
      </w:r>
      <w:r>
        <w:rPr>
          <w:rFonts w:ascii="Arial" w:eastAsia="Arial" w:hAnsi="Arial" w:cs="Arial"/>
          <w:color w:val="000000"/>
          <w:sz w:val="28"/>
          <w:szCs w:val="28"/>
        </w:rPr>
        <w:t xml:space="preserve">dited colleges/universities would meet requirements on the FC AA GE pattern for a FC Associate’s Degree in fall 2018 through summer 2019.  </w:t>
      </w:r>
    </w:p>
    <w:p w:rsidR="00580C2A" w:rsidRDefault="003F6B74">
      <w:pPr>
        <w:pBdr>
          <w:top w:val="nil"/>
          <w:left w:val="nil"/>
          <w:bottom w:val="nil"/>
          <w:right w:val="nil"/>
          <w:between w:val="nil"/>
        </w:pBdr>
        <w:ind w:right="932"/>
        <w:rPr>
          <w:rFonts w:ascii="Arial" w:eastAsia="Arial" w:hAnsi="Arial" w:cs="Arial"/>
          <w:color w:val="000000"/>
          <w:sz w:val="28"/>
          <w:szCs w:val="28"/>
        </w:rPr>
      </w:pPr>
      <w:r>
        <w:rPr>
          <w:rFonts w:ascii="Arial" w:eastAsia="Arial" w:hAnsi="Arial" w:cs="Arial"/>
          <w:color w:val="000000"/>
          <w:sz w:val="28"/>
          <w:szCs w:val="28"/>
        </w:rPr>
        <w:t>The Curriculum Committee will seek broad and detailed input from discipline faculty on the FC AA GE area description</w:t>
      </w:r>
      <w:r>
        <w:rPr>
          <w:rFonts w:ascii="Arial" w:eastAsia="Arial" w:hAnsi="Arial" w:cs="Arial"/>
          <w:color w:val="000000"/>
          <w:sz w:val="28"/>
          <w:szCs w:val="28"/>
        </w:rPr>
        <w:t>s during the 2018-2019 academic year, with the goal being Curriculum Committee and Faculty Senate approval of a thoroughly vetted “Fullerton College Associate Degree General Education Subject Areas and Course Guidelines” document before the end spring 2019</w:t>
      </w:r>
      <w:r>
        <w:rPr>
          <w:rFonts w:ascii="Arial" w:eastAsia="Arial" w:hAnsi="Arial" w:cs="Arial"/>
          <w:color w:val="000000"/>
          <w:sz w:val="28"/>
          <w:szCs w:val="28"/>
        </w:rPr>
        <w:t xml:space="preserve"> for implementation in fall 2019.</w:t>
      </w:r>
    </w:p>
    <w:p w:rsidR="00580C2A" w:rsidRDefault="00580C2A">
      <w:pPr>
        <w:pBdr>
          <w:top w:val="nil"/>
          <w:left w:val="nil"/>
          <w:bottom w:val="nil"/>
          <w:right w:val="nil"/>
          <w:between w:val="nil"/>
        </w:pBdr>
        <w:ind w:right="932"/>
        <w:rPr>
          <w:rFonts w:ascii="Arial" w:eastAsia="Arial" w:hAnsi="Arial" w:cs="Arial"/>
          <w:color w:val="000000"/>
          <w:sz w:val="28"/>
          <w:szCs w:val="28"/>
        </w:rPr>
      </w:pPr>
    </w:p>
    <w:p w:rsidR="00580C2A" w:rsidRDefault="003F6B74">
      <w:pPr>
        <w:pBdr>
          <w:top w:val="nil"/>
          <w:left w:val="nil"/>
          <w:bottom w:val="nil"/>
          <w:right w:val="nil"/>
          <w:between w:val="nil"/>
        </w:pBdr>
        <w:ind w:right="932"/>
        <w:rPr>
          <w:rFonts w:ascii="Arial" w:eastAsia="Arial" w:hAnsi="Arial" w:cs="Arial"/>
          <w:color w:val="000000"/>
          <w:sz w:val="28"/>
          <w:szCs w:val="28"/>
        </w:rPr>
      </w:pPr>
      <w:r>
        <w:rPr>
          <w:rFonts w:ascii="Arial" w:eastAsia="Arial" w:hAnsi="Arial" w:cs="Arial"/>
          <w:color w:val="000000"/>
          <w:sz w:val="28"/>
          <w:szCs w:val="28"/>
        </w:rPr>
        <w:t>This would make it possible to give students credit for courses completed at other regionally accredited colleges that clearly fit our own Title 5 compliant (albeit not yet perfected) GE criteria next year, while recognizing that more time for review and i</w:t>
      </w:r>
      <w:r>
        <w:rPr>
          <w:rFonts w:ascii="Arial" w:eastAsia="Arial" w:hAnsi="Arial" w:cs="Arial"/>
          <w:color w:val="000000"/>
          <w:sz w:val="28"/>
          <w:szCs w:val="28"/>
        </w:rPr>
        <w:t>nput from discipline faculty is needed to best articulate Fullerton College GE requirements moving forward.</w:t>
      </w:r>
    </w:p>
    <w:p w:rsidR="00580C2A" w:rsidRDefault="003F6B74">
      <w:pPr>
        <w:rPr>
          <w:rFonts w:ascii="Times New Roman" w:eastAsia="Times New Roman" w:hAnsi="Times New Roman" w:cs="Times New Roman"/>
          <w:sz w:val="20"/>
          <w:szCs w:val="20"/>
        </w:rPr>
      </w:pPr>
      <w:r>
        <w:br w:type="page"/>
      </w:r>
    </w:p>
    <w:p w:rsidR="00580C2A" w:rsidRDefault="00580C2A">
      <w:pPr>
        <w:rPr>
          <w:rFonts w:ascii="Times New Roman" w:eastAsia="Times New Roman" w:hAnsi="Times New Roman" w:cs="Times New Roman"/>
          <w:sz w:val="20"/>
          <w:szCs w:val="20"/>
        </w:rPr>
      </w:pPr>
    </w:p>
    <w:p w:rsidR="00580C2A" w:rsidRDefault="003F6B74">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24550" cy="822325"/>
                <wp:effectExtent l="0" t="0" r="0" b="0"/>
                <wp:docPr id="1" name=""/>
                <wp:cNvGraphicFramePr/>
                <a:graphic xmlns:a="http://schemas.openxmlformats.org/drawingml/2006/main">
                  <a:graphicData uri="http://schemas.microsoft.com/office/word/2010/wordprocessingGroup">
                    <wpg:wgp>
                      <wpg:cNvGrpSpPr/>
                      <wpg:grpSpPr>
                        <a:xfrm>
                          <a:off x="0" y="0"/>
                          <a:ext cx="5924550" cy="822325"/>
                          <a:chOff x="0" y="0"/>
                          <a:chExt cx="8308275" cy="4191163"/>
                        </a:xfrm>
                      </wpg:grpSpPr>
                      <wps:wsp>
                        <wps:cNvPr id="2" name="Freeform 2"/>
                        <wps:cNvSpPr/>
                        <wps:spPr>
                          <a:xfrm>
                            <a:off x="0" y="0"/>
                            <a:ext cx="9420" cy="324"/>
                          </a:xfrm>
                          <a:custGeom>
                            <a:avLst/>
                            <a:gdLst/>
                            <a:ahLst/>
                            <a:cxnLst/>
                            <a:rect l="l" t="t" r="r" b="b"/>
                            <a:pathLst>
                              <a:path w="9420" h="324" extrusionOk="0">
                                <a:moveTo>
                                  <a:pt x="0" y="324"/>
                                </a:moveTo>
                                <a:lnTo>
                                  <a:pt x="9420" y="324"/>
                                </a:lnTo>
                                <a:lnTo>
                                  <a:pt x="9420" y="0"/>
                                </a:lnTo>
                                <a:lnTo>
                                  <a:pt x="0" y="0"/>
                                </a:lnTo>
                                <a:lnTo>
                                  <a:pt x="0" y="324"/>
                                </a:lnTo>
                                <a:close/>
                              </a:path>
                            </a:pathLst>
                          </a:custGeom>
                          <a:solidFill>
                            <a:srgbClr val="000000"/>
                          </a:solidFill>
                          <a:ln>
                            <a:noFill/>
                          </a:ln>
                        </wps:spPr>
                        <wps:bodyPr spcFirstLastPara="1" wrap="square" lIns="91425" tIns="91425" rIns="91425" bIns="91425" anchor="ctr" anchorCtr="0"/>
                      </wps:wsp>
                      <wps:wsp>
                        <wps:cNvPr id="3" name="Freeform 3"/>
                        <wps:cNvSpPr/>
                        <wps:spPr>
                          <a:xfrm>
                            <a:off x="0" y="324"/>
                            <a:ext cx="9420" cy="324"/>
                          </a:xfrm>
                          <a:custGeom>
                            <a:avLst/>
                            <a:gdLst/>
                            <a:ahLst/>
                            <a:cxnLst/>
                            <a:rect l="l" t="t" r="r" b="b"/>
                            <a:pathLst>
                              <a:path w="9420" h="324" extrusionOk="0">
                                <a:moveTo>
                                  <a:pt x="0" y="324"/>
                                </a:moveTo>
                                <a:lnTo>
                                  <a:pt x="9420" y="324"/>
                                </a:lnTo>
                                <a:lnTo>
                                  <a:pt x="9420" y="0"/>
                                </a:lnTo>
                                <a:lnTo>
                                  <a:pt x="0" y="0"/>
                                </a:lnTo>
                                <a:lnTo>
                                  <a:pt x="0" y="324"/>
                                </a:lnTo>
                                <a:close/>
                              </a:path>
                            </a:pathLst>
                          </a:custGeom>
                          <a:solidFill>
                            <a:srgbClr val="000000"/>
                          </a:solidFill>
                          <a:ln>
                            <a:noFill/>
                          </a:ln>
                        </wps:spPr>
                        <wps:bodyPr spcFirstLastPara="1" wrap="square" lIns="91425" tIns="91425" rIns="91425" bIns="91425" anchor="ctr" anchorCtr="0"/>
                      </wps:wsp>
                      <wps:wsp>
                        <wps:cNvPr id="4" name="Freeform 4"/>
                        <wps:cNvSpPr/>
                        <wps:spPr>
                          <a:xfrm>
                            <a:off x="0" y="648"/>
                            <a:ext cx="9420" cy="323"/>
                          </a:xfrm>
                          <a:custGeom>
                            <a:avLst/>
                            <a:gdLst/>
                            <a:ahLst/>
                            <a:cxnLst/>
                            <a:rect l="l" t="t" r="r" b="b"/>
                            <a:pathLst>
                              <a:path w="9420" h="323" extrusionOk="0">
                                <a:moveTo>
                                  <a:pt x="0" y="323"/>
                                </a:moveTo>
                                <a:lnTo>
                                  <a:pt x="9420" y="323"/>
                                </a:lnTo>
                                <a:lnTo>
                                  <a:pt x="9420" y="0"/>
                                </a:lnTo>
                                <a:lnTo>
                                  <a:pt x="0" y="0"/>
                                </a:lnTo>
                                <a:lnTo>
                                  <a:pt x="0" y="323"/>
                                </a:lnTo>
                                <a:close/>
                              </a:path>
                            </a:pathLst>
                          </a:custGeom>
                          <a:solidFill>
                            <a:srgbClr val="000000"/>
                          </a:solidFill>
                          <a:ln>
                            <a:noFill/>
                          </a:ln>
                        </wps:spPr>
                        <wps:bodyPr spcFirstLastPara="1" wrap="square" lIns="91425" tIns="91425" rIns="91425" bIns="91425" anchor="ctr" anchorCtr="0"/>
                      </wps:wsp>
                      <wpg:grpSp>
                        <wpg:cNvPr id="5" name="Group 5"/>
                        <wpg:cNvGrpSpPr/>
                        <wpg:grpSpPr>
                          <a:xfrm>
                            <a:off x="2383725" y="3368838"/>
                            <a:ext cx="5924550" cy="822325"/>
                            <a:chOff x="0" y="0"/>
                            <a:chExt cx="9420" cy="1295"/>
                          </a:xfrm>
                        </wpg:grpSpPr>
                        <wps:wsp>
                          <wps:cNvPr id="6" name="Rectangle 6"/>
                          <wps:cNvSpPr/>
                          <wps:spPr>
                            <a:xfrm>
                              <a:off x="0" y="0"/>
                              <a:ext cx="9400" cy="1275"/>
                            </a:xfrm>
                            <a:prstGeom prst="rect">
                              <a:avLst/>
                            </a:prstGeom>
                            <a:noFill/>
                            <a:ln>
                              <a:noFill/>
                            </a:ln>
                          </wps:spPr>
                          <wps:txbx>
                            <w:txbxContent>
                              <w:p w:rsidR="00580C2A" w:rsidRDefault="00580C2A">
                                <w:pPr>
                                  <w:textDirection w:val="btLr"/>
                                </w:pPr>
                              </w:p>
                            </w:txbxContent>
                          </wps:txbx>
                          <wps:bodyPr spcFirstLastPara="1" wrap="square" lIns="91425" tIns="91425" rIns="91425" bIns="91425" anchor="ctr" anchorCtr="0"/>
                        </wps:wsp>
                        <wpg:grpSp>
                          <wpg:cNvPr id="7" name="Group 7"/>
                          <wpg:cNvGrpSpPr/>
                          <wpg:grpSpPr>
                            <a:xfrm>
                              <a:off x="0" y="210"/>
                              <a:ext cx="9420" cy="1085"/>
                              <a:chOff x="0" y="210"/>
                              <a:chExt cx="9420" cy="1085"/>
                            </a:xfrm>
                          </wpg:grpSpPr>
                          <wps:wsp>
                            <wps:cNvPr id="8" name="Freeform 8"/>
                            <wps:cNvSpPr/>
                            <wps:spPr>
                              <a:xfrm>
                                <a:off x="0" y="971"/>
                                <a:ext cx="9420" cy="324"/>
                              </a:xfrm>
                              <a:custGeom>
                                <a:avLst/>
                                <a:gdLst/>
                                <a:ahLst/>
                                <a:cxnLst/>
                                <a:rect l="l" t="t" r="r" b="b"/>
                                <a:pathLst>
                                  <a:path w="9420" h="324" extrusionOk="0">
                                    <a:moveTo>
                                      <a:pt x="0" y="324"/>
                                    </a:moveTo>
                                    <a:lnTo>
                                      <a:pt x="9420" y="324"/>
                                    </a:lnTo>
                                    <a:lnTo>
                                      <a:pt x="9420" y="0"/>
                                    </a:lnTo>
                                    <a:lnTo>
                                      <a:pt x="0" y="0"/>
                                    </a:lnTo>
                                    <a:lnTo>
                                      <a:pt x="0" y="324"/>
                                    </a:lnTo>
                                    <a:close/>
                                  </a:path>
                                </a:pathLst>
                              </a:custGeom>
                              <a:solidFill>
                                <a:srgbClr val="000000"/>
                              </a:solidFill>
                              <a:ln>
                                <a:noFill/>
                              </a:ln>
                            </wps:spPr>
                            <wps:bodyPr spcFirstLastPara="1" wrap="square" lIns="91425" tIns="91425" rIns="91425" bIns="91425" anchor="ctr" anchorCtr="0"/>
                          </wps:wsp>
                          <wps:wsp>
                            <wps:cNvPr id="9" name="Rectangle 9"/>
                            <wps:cNvSpPr/>
                            <wps:spPr>
                              <a:xfrm>
                                <a:off x="323" y="210"/>
                                <a:ext cx="8572" cy="970"/>
                              </a:xfrm>
                              <a:prstGeom prst="rect">
                                <a:avLst/>
                              </a:prstGeom>
                              <a:noFill/>
                              <a:ln>
                                <a:noFill/>
                              </a:ln>
                            </wps:spPr>
                            <wps:txbx>
                              <w:txbxContent>
                                <w:p w:rsidR="00580C2A" w:rsidRDefault="00580C2A">
                                  <w:pPr>
                                    <w:spacing w:line="245" w:lineRule="auto"/>
                                    <w:textDirection w:val="btLr"/>
                                  </w:pPr>
                                </w:p>
                                <w:p w:rsidR="00580C2A" w:rsidRDefault="003F6B74">
                                  <w:pPr>
                                    <w:spacing w:line="245" w:lineRule="auto"/>
                                    <w:textDirection w:val="btLr"/>
                                  </w:pPr>
                                  <w:r>
                                    <w:rPr>
                                      <w:rFonts w:ascii="Palatino Linotype" w:eastAsia="Palatino Linotype" w:hAnsi="Palatino Linotype" w:cs="Palatino Linotype"/>
                                      <w:b/>
                                      <w:color w:val="FFFFFF"/>
                                      <w:sz w:val="28"/>
                                    </w:rPr>
                                    <w:t>Fullerton College</w:t>
                                  </w:r>
                                  <w:r>
                                    <w:rPr>
                                      <w:rFonts w:ascii="Palatino Linotype" w:eastAsia="Palatino Linotype" w:hAnsi="Palatino Linotype" w:cs="Palatino Linotype"/>
                                      <w:color w:val="000000"/>
                                      <w:sz w:val="28"/>
                                    </w:rPr>
                                    <w:t xml:space="preserve"> </w:t>
                                  </w:r>
                                  <w:r>
                                    <w:rPr>
                                      <w:rFonts w:ascii="Palatino Linotype" w:eastAsia="Palatino Linotype" w:hAnsi="Palatino Linotype" w:cs="Palatino Linotype"/>
                                      <w:b/>
                                      <w:color w:val="FFFFFF"/>
                                      <w:sz w:val="28"/>
                                    </w:rPr>
                                    <w:t>Associate Degree General Education Subject Areas and Course Guidelines</w:t>
                                  </w:r>
                                </w:p>
                              </w:txbxContent>
                            </wps:txbx>
                            <wps:bodyPr spcFirstLastPara="1" wrap="square" lIns="0" tIns="0" rIns="0" bIns="0" anchor="t" anchorCtr="0"/>
                          </wps:wsp>
                        </wpg:grpSp>
                      </wpg:grpSp>
                    </wpg:wgp>
                  </a:graphicData>
                </a:graphic>
              </wp:inline>
            </w:drawing>
          </mc:Choice>
          <mc:Fallback>
            <w:pict>
              <v:group id="_x0000_s1026" style="width:466.5pt;height:64.75pt;mso-position-horizontal-relative:char;mso-position-vertical-relative:line" coordsize="83082,4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">
                <v:shape id="Freeform 2" o:spid="_x0000_s1027" style="position:absolute;width:94;height:3;visibility:visible;mso-wrap-style:square;v-text-anchor:middle" coordsize="9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4uH8UA&#10;AADaAAAADwAAAGRycy9kb3ducmV2LnhtbESPQWvCQBSE70L/w/IKvYS6qVAr0VWKIAiCwVQP3p7Z&#10;Z5I2+zbsbk3677sFocdhZr5hFqvBtOJGzjeWFbyMUxDEpdUNVwqOH5vnGQgfkDW2lknBD3lYLR9G&#10;C8y07flAtyJUIkLYZ6igDqHLpPRlTQb92HbE0btaZzBE6SqpHfYRblo5SdOpNNhwXKixo3VN5Vfx&#10;bRQkx12enE55vv8c+vXbmS/4OnNKPT0O73MQgYbwH763t1rBBP6uxB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i4fxQAAANoAAAAPAAAAAAAAAAAAAAAAAJgCAABkcnMv&#10;ZG93bnJldi54bWxQSwUGAAAAAAQABAD1AAAAigMAAAAA&#10;" path="m,324r9420,l9420,,,,,324xe" fillcolor="black" stroked="f">
                  <v:path arrowok="t" o:extrusionok="f"/>
                </v:shape>
                <v:shape id="Freeform 3" o:spid="_x0000_s1028" style="position:absolute;top:3;width:94;height:3;visibility:visible;mso-wrap-style:square;v-text-anchor:middle" coordsize="9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LhMUA&#10;AADaAAAADwAAAGRycy9kb3ducmV2LnhtbESPT2vCQBTE7wW/w/KEXqRuqtRKdJUiCIWCof459Paa&#10;fSbR7NuwuzXx27uC0OMwM79h5svO1OJCzleWFbwOExDEudUVFwr2u/XLFIQPyBpry6TgSh6Wi97T&#10;HFNtW/6myzYUIkLYp6igDKFJpfR5SQb90DbE0TtaZzBE6QqpHbYRbmo5SpKJNFhxXCixoVVJ+Xn7&#10;ZxQM9l/Z4HDIss2pa1fvP/yLb1On1HO/+5iBCNSF//Cj/akVjOF+Jd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ouExQAAANoAAAAPAAAAAAAAAAAAAAAAAJgCAABkcnMv&#10;ZG93bnJldi54bWxQSwUGAAAAAAQABAD1AAAAigMAAAAA&#10;" path="m,324r9420,l9420,,,,,324xe" fillcolor="black" stroked="f">
                  <v:path arrowok="t" o:extrusionok="f"/>
                </v:shape>
                <v:shape id="Freeform 4" o:spid="_x0000_s1029" style="position:absolute;top:6;width:94;height:3;visibility:visible;mso-wrap-style:square;v-text-anchor:middle" coordsize="942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5O8YA&#10;AADaAAAADwAAAGRycy9kb3ducmV2LnhtbESPW2vCQBSE3wv+h+UU+lLqxraITbOKF4q+iJgWSt8O&#10;2ZMLyZ4N2VWjv94VCj4OM/MNk8x604gjda6yrGA0jEAQZ1ZXXCj4+f56mYBwHlljY5kUnMnBbDp4&#10;SDDW9sR7Oqa+EAHCLkYFpfdtLKXLSjLohrYlDl5uO4M+yK6QusNTgJtGvkbRWBqsOCyU2NKypKxO&#10;D0bBB++248Wyflvnf6vf/eU5res+VerpsZ9/gvDU+3v4v73RCt7hdiXc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85O8YAAADaAAAADwAAAAAAAAAAAAAAAACYAgAAZHJz&#10;L2Rvd25yZXYueG1sUEsFBgAAAAAEAAQA9QAAAIsDAAAAAA==&#10;" path="m,323r9420,l9420,,,,,323xe" fillcolor="black" stroked="f">
                  <v:path arrowok="t" o:extrusionok="f"/>
                </v:shape>
                <v:group id="Group 5" o:spid="_x0000_s1030" style="position:absolute;left:23837;top:33688;width:59245;height:8223" coordsize="9420,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1" style="position:absolute;width:9400;height:1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580C2A" w:rsidRDefault="00580C2A">
                          <w:pPr>
                            <w:textDirection w:val="btLr"/>
                          </w:pPr>
                        </w:p>
                      </w:txbxContent>
                    </v:textbox>
                  </v:rect>
                  <v:group id="Group 7" o:spid="_x0000_s1032" style="position:absolute;top:210;width:9420;height:1085" coordorigin=",210" coordsize="9420,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3" style="position:absolute;top:971;width:9420;height:324;visibility:visible;mso-wrap-style:square;v-text-anchor:middle" coordsize="9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Z9cIA&#10;AADaAAAADwAAAGRycy9kb3ducmV2LnhtbERPz2vCMBS+D/wfwhO8iE0VNqU2igiCIKzM6WG3t+bZ&#10;dmteShJt998vh8GOH9/vfDuYVjzI+caygnmSgiAurW64UnB5P8xWIHxA1thaJgU/5GG7GT3lmGnb&#10;8xs9zqESMYR9hgrqELpMSl/WZNAntiOO3M06gyFCV0ntsI/hppWLNH2RBhuODTV2tK+p/D7fjYLp&#10;5VRMr9eieP0a+v3ygz/xeeWUmoyH3RpEoCH8i//cR60gbo1X4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hn1wgAAANoAAAAPAAAAAAAAAAAAAAAAAJgCAABkcnMvZG93&#10;bnJldi54bWxQSwUGAAAAAAQABAD1AAAAhwMAAAAA&#10;" path="m,324r9420,l9420,,,,,324xe" fillcolor="black" stroked="f">
                      <v:path arrowok="t" o:extrusionok="f"/>
                    </v:shape>
                    <v:rect id="Rectangle 9" o:spid="_x0000_s1034" style="position:absolute;left:323;top:210;width:8572;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80C2A" w:rsidRDefault="00580C2A">
                            <w:pPr>
                              <w:spacing w:line="245" w:lineRule="auto"/>
                              <w:textDirection w:val="btLr"/>
                            </w:pPr>
                          </w:p>
                          <w:p w:rsidR="00580C2A" w:rsidRDefault="003F6B74">
                            <w:pPr>
                              <w:spacing w:line="245" w:lineRule="auto"/>
                              <w:textDirection w:val="btLr"/>
                            </w:pPr>
                            <w:r>
                              <w:rPr>
                                <w:rFonts w:ascii="Palatino Linotype" w:eastAsia="Palatino Linotype" w:hAnsi="Palatino Linotype" w:cs="Palatino Linotype"/>
                                <w:b/>
                                <w:color w:val="FFFFFF"/>
                                <w:sz w:val="28"/>
                              </w:rPr>
                              <w:t>Fullerton College</w:t>
                            </w:r>
                            <w:r>
                              <w:rPr>
                                <w:rFonts w:ascii="Palatino Linotype" w:eastAsia="Palatino Linotype" w:hAnsi="Palatino Linotype" w:cs="Palatino Linotype"/>
                                <w:color w:val="000000"/>
                                <w:sz w:val="28"/>
                              </w:rPr>
                              <w:t xml:space="preserve"> </w:t>
                            </w:r>
                            <w:r>
                              <w:rPr>
                                <w:rFonts w:ascii="Palatino Linotype" w:eastAsia="Palatino Linotype" w:hAnsi="Palatino Linotype" w:cs="Palatino Linotype"/>
                                <w:b/>
                                <w:color w:val="FFFFFF"/>
                                <w:sz w:val="28"/>
                              </w:rPr>
                              <w:t>Associate Degree General Education Subject Areas and Course Guidelines</w:t>
                            </w:r>
                          </w:p>
                        </w:txbxContent>
                      </v:textbox>
                    </v:rect>
                  </v:group>
                </v:group>
                <w10:anchorlock/>
              </v:group>
            </w:pict>
          </mc:Fallback>
        </mc:AlternateContent>
      </w:r>
    </w:p>
    <w:p w:rsidR="00580C2A" w:rsidRDefault="00580C2A">
      <w:pPr>
        <w:rPr>
          <w:rFonts w:ascii="Arial" w:eastAsia="Arial" w:hAnsi="Arial" w:cs="Arial"/>
          <w:sz w:val="24"/>
          <w:szCs w:val="24"/>
        </w:rPr>
      </w:pPr>
    </w:p>
    <w:p w:rsidR="00580C2A" w:rsidRDefault="003F6B74">
      <w:pPr>
        <w:pBdr>
          <w:top w:val="nil"/>
          <w:left w:val="nil"/>
          <w:bottom w:val="nil"/>
          <w:right w:val="nil"/>
          <w:between w:val="nil"/>
        </w:pBdr>
        <w:ind w:left="139" w:right="155"/>
        <w:rPr>
          <w:rFonts w:ascii="Arial" w:eastAsia="Arial" w:hAnsi="Arial" w:cs="Arial"/>
          <w:color w:val="000000"/>
          <w:sz w:val="24"/>
          <w:szCs w:val="24"/>
        </w:rPr>
      </w:pPr>
      <w:r>
        <w:rPr>
          <w:rFonts w:ascii="Arial" w:eastAsia="Arial" w:hAnsi="Arial" w:cs="Arial"/>
          <w:color w:val="000000"/>
          <w:sz w:val="24"/>
          <w:szCs w:val="24"/>
        </w:rPr>
        <w:t>The Fullerton College Associate Degree is award</w:t>
      </w:r>
      <w:r>
        <w:rPr>
          <w:rFonts w:ascii="Arial" w:eastAsia="Arial" w:hAnsi="Arial" w:cs="Arial"/>
          <w:color w:val="000000"/>
          <w:sz w:val="24"/>
          <w:szCs w:val="24"/>
        </w:rPr>
        <w:t xml:space="preserve">ed to students who have successfully demonstrated that they have developed intellectual skills, information technology facility, affective and creative capabilities, social attitudes, and an appreciation for cultural diversity. </w:t>
      </w:r>
    </w:p>
    <w:p w:rsidR="00580C2A" w:rsidRDefault="003F6B74">
      <w:pPr>
        <w:pBdr>
          <w:top w:val="nil"/>
          <w:left w:val="nil"/>
          <w:bottom w:val="nil"/>
          <w:right w:val="nil"/>
          <w:between w:val="nil"/>
        </w:pBdr>
        <w:ind w:left="139" w:right="155"/>
        <w:rPr>
          <w:rFonts w:ascii="Arial" w:eastAsia="Arial" w:hAnsi="Arial" w:cs="Arial"/>
          <w:color w:val="000000"/>
          <w:sz w:val="24"/>
          <w:szCs w:val="24"/>
        </w:rPr>
      </w:pPr>
      <w:r>
        <w:rPr>
          <w:rFonts w:ascii="Arial" w:eastAsia="Arial" w:hAnsi="Arial" w:cs="Arial"/>
          <w:color w:val="000000"/>
          <w:sz w:val="24"/>
          <w:szCs w:val="24"/>
        </w:rPr>
        <w:t>General Education at Fullerton College introduces the content and methodology of major areas of knowledge. Its purpose is to encourage students to select a broad spectrum of classes. Students completing this program are able to demonstrate the following:</w:t>
      </w:r>
    </w:p>
    <w:p w:rsidR="00580C2A" w:rsidRDefault="00580C2A">
      <w:pPr>
        <w:rPr>
          <w:rFonts w:ascii="Arial" w:eastAsia="Arial" w:hAnsi="Arial" w:cs="Arial"/>
          <w:sz w:val="10"/>
          <w:szCs w:val="10"/>
        </w:rPr>
      </w:pPr>
    </w:p>
    <w:p w:rsidR="00580C2A" w:rsidRDefault="003F6B74">
      <w:pPr>
        <w:numPr>
          <w:ilvl w:val="0"/>
          <w:numId w:val="2"/>
        </w:numPr>
        <w:pBdr>
          <w:top w:val="nil"/>
          <w:left w:val="nil"/>
          <w:bottom w:val="nil"/>
          <w:right w:val="nil"/>
          <w:between w:val="nil"/>
        </w:pBdr>
        <w:tabs>
          <w:tab w:val="left" w:pos="860"/>
        </w:tabs>
        <w:ind w:right="253"/>
        <w:rPr>
          <w:rFonts w:ascii="Arial" w:eastAsia="Arial" w:hAnsi="Arial" w:cs="Arial"/>
          <w:color w:val="000000"/>
          <w:sz w:val="24"/>
          <w:szCs w:val="24"/>
        </w:rPr>
      </w:pPr>
      <w:r>
        <w:rPr>
          <w:rFonts w:ascii="Arial" w:eastAsia="Arial" w:hAnsi="Arial" w:cs="Arial"/>
          <w:color w:val="000000"/>
          <w:sz w:val="24"/>
          <w:szCs w:val="24"/>
        </w:rPr>
        <w:t>A broad understanding of mathematics, science, social science, humanities, and the arts.</w:t>
      </w:r>
    </w:p>
    <w:p w:rsidR="00580C2A" w:rsidRDefault="00580C2A">
      <w:pPr>
        <w:rPr>
          <w:rFonts w:ascii="Arial" w:eastAsia="Arial" w:hAnsi="Arial" w:cs="Arial"/>
          <w:sz w:val="10"/>
          <w:szCs w:val="10"/>
        </w:rPr>
      </w:pPr>
    </w:p>
    <w:p w:rsidR="00580C2A" w:rsidRDefault="003F6B74">
      <w:pPr>
        <w:numPr>
          <w:ilvl w:val="0"/>
          <w:numId w:val="2"/>
        </w:numPr>
        <w:pBdr>
          <w:top w:val="nil"/>
          <w:left w:val="nil"/>
          <w:bottom w:val="nil"/>
          <w:right w:val="nil"/>
          <w:between w:val="nil"/>
        </w:pBdr>
        <w:tabs>
          <w:tab w:val="left" w:pos="860"/>
        </w:tabs>
        <w:rPr>
          <w:rFonts w:ascii="Arial" w:eastAsia="Arial" w:hAnsi="Arial" w:cs="Arial"/>
          <w:color w:val="000000"/>
          <w:sz w:val="24"/>
          <w:szCs w:val="24"/>
        </w:rPr>
      </w:pPr>
      <w:r>
        <w:rPr>
          <w:rFonts w:ascii="Arial" w:eastAsia="Arial" w:hAnsi="Arial" w:cs="Arial"/>
          <w:color w:val="000000"/>
          <w:sz w:val="24"/>
          <w:szCs w:val="24"/>
        </w:rPr>
        <w:t>Effective communication in oral and written form.</w:t>
      </w:r>
    </w:p>
    <w:p w:rsidR="00580C2A" w:rsidRDefault="00580C2A">
      <w:pPr>
        <w:rPr>
          <w:rFonts w:ascii="Arial" w:eastAsia="Arial" w:hAnsi="Arial" w:cs="Arial"/>
          <w:sz w:val="10"/>
          <w:szCs w:val="10"/>
        </w:rPr>
      </w:pPr>
    </w:p>
    <w:p w:rsidR="00580C2A" w:rsidRDefault="003F6B74">
      <w:pPr>
        <w:numPr>
          <w:ilvl w:val="0"/>
          <w:numId w:val="2"/>
        </w:numPr>
        <w:pBdr>
          <w:top w:val="nil"/>
          <w:left w:val="nil"/>
          <w:bottom w:val="nil"/>
          <w:right w:val="nil"/>
          <w:between w:val="nil"/>
        </w:pBdr>
        <w:tabs>
          <w:tab w:val="left" w:pos="860"/>
        </w:tabs>
        <w:rPr>
          <w:rFonts w:ascii="Arial" w:eastAsia="Arial" w:hAnsi="Arial" w:cs="Arial"/>
          <w:color w:val="000000"/>
          <w:sz w:val="24"/>
          <w:szCs w:val="24"/>
        </w:rPr>
      </w:pPr>
      <w:r>
        <w:rPr>
          <w:rFonts w:ascii="Arial" w:eastAsia="Arial" w:hAnsi="Arial" w:cs="Arial"/>
          <w:color w:val="000000"/>
          <w:sz w:val="24"/>
          <w:szCs w:val="24"/>
        </w:rPr>
        <w:t>A multicultural global perspective.</w:t>
      </w:r>
    </w:p>
    <w:p w:rsidR="00580C2A" w:rsidRDefault="00580C2A">
      <w:pPr>
        <w:rPr>
          <w:rFonts w:ascii="Arial" w:eastAsia="Arial" w:hAnsi="Arial" w:cs="Arial"/>
          <w:sz w:val="10"/>
          <w:szCs w:val="10"/>
        </w:rPr>
      </w:pPr>
    </w:p>
    <w:p w:rsidR="00580C2A" w:rsidRDefault="003F6B74">
      <w:pPr>
        <w:numPr>
          <w:ilvl w:val="0"/>
          <w:numId w:val="2"/>
        </w:numPr>
        <w:pBdr>
          <w:top w:val="nil"/>
          <w:left w:val="nil"/>
          <w:bottom w:val="nil"/>
          <w:right w:val="nil"/>
          <w:between w:val="nil"/>
        </w:pBdr>
        <w:tabs>
          <w:tab w:val="left" w:pos="860"/>
        </w:tabs>
        <w:ind w:right="493"/>
        <w:rPr>
          <w:rFonts w:ascii="Arial" w:eastAsia="Arial" w:hAnsi="Arial" w:cs="Arial"/>
          <w:color w:val="000000"/>
          <w:sz w:val="24"/>
          <w:szCs w:val="24"/>
        </w:rPr>
      </w:pPr>
      <w:r>
        <w:rPr>
          <w:rFonts w:ascii="Arial" w:eastAsia="Arial" w:hAnsi="Arial" w:cs="Arial"/>
          <w:color w:val="000000"/>
          <w:sz w:val="24"/>
          <w:szCs w:val="24"/>
        </w:rPr>
        <w:t>Critical thinking skills that apply analytical and creative approaches to problem solving.</w:t>
      </w:r>
    </w:p>
    <w:p w:rsidR="00580C2A" w:rsidRDefault="00580C2A">
      <w:pPr>
        <w:rPr>
          <w:rFonts w:ascii="Arial" w:eastAsia="Arial" w:hAnsi="Arial" w:cs="Arial"/>
          <w:sz w:val="10"/>
          <w:szCs w:val="10"/>
        </w:rPr>
      </w:pPr>
    </w:p>
    <w:p w:rsidR="00580C2A" w:rsidRDefault="003F6B74">
      <w:pPr>
        <w:numPr>
          <w:ilvl w:val="0"/>
          <w:numId w:val="2"/>
        </w:numPr>
        <w:pBdr>
          <w:top w:val="nil"/>
          <w:left w:val="nil"/>
          <w:bottom w:val="nil"/>
          <w:right w:val="nil"/>
          <w:between w:val="nil"/>
        </w:pBdr>
        <w:tabs>
          <w:tab w:val="left" w:pos="860"/>
        </w:tabs>
        <w:rPr>
          <w:rFonts w:ascii="Arial" w:eastAsia="Arial" w:hAnsi="Arial" w:cs="Arial"/>
          <w:color w:val="000000"/>
          <w:sz w:val="24"/>
          <w:szCs w:val="24"/>
        </w:rPr>
      </w:pPr>
      <w:r>
        <w:rPr>
          <w:rFonts w:ascii="Arial" w:eastAsia="Arial" w:hAnsi="Arial" w:cs="Arial"/>
          <w:color w:val="000000"/>
          <w:sz w:val="24"/>
          <w:szCs w:val="24"/>
        </w:rPr>
        <w:t>Social awareness and responsibility as a participating member of society.</w:t>
      </w:r>
    </w:p>
    <w:p w:rsidR="00580C2A" w:rsidRDefault="00580C2A">
      <w:pPr>
        <w:rPr>
          <w:rFonts w:ascii="Arial" w:eastAsia="Arial" w:hAnsi="Arial" w:cs="Arial"/>
          <w:sz w:val="24"/>
          <w:szCs w:val="24"/>
        </w:rPr>
      </w:pPr>
    </w:p>
    <w:p w:rsidR="00580C2A" w:rsidRDefault="003F6B74">
      <w:pPr>
        <w:pBdr>
          <w:top w:val="nil"/>
          <w:left w:val="nil"/>
          <w:bottom w:val="nil"/>
          <w:right w:val="nil"/>
          <w:between w:val="nil"/>
        </w:pBdr>
        <w:ind w:left="139" w:right="555"/>
        <w:rPr>
          <w:rFonts w:ascii="Arial" w:eastAsia="Arial" w:hAnsi="Arial" w:cs="Arial"/>
          <w:color w:val="000000"/>
          <w:sz w:val="24"/>
          <w:szCs w:val="24"/>
        </w:rPr>
      </w:pPr>
      <w:r>
        <w:rPr>
          <w:rFonts w:ascii="Arial" w:eastAsia="Arial" w:hAnsi="Arial" w:cs="Arial"/>
          <w:color w:val="000000"/>
          <w:sz w:val="24"/>
          <w:szCs w:val="24"/>
        </w:rPr>
        <w:t>The Fullerton College general education pattern for the Associate in Arts and Associate i</w:t>
      </w:r>
      <w:r>
        <w:rPr>
          <w:rFonts w:ascii="Arial" w:eastAsia="Arial" w:hAnsi="Arial" w:cs="Arial"/>
          <w:color w:val="000000"/>
          <w:sz w:val="24"/>
          <w:szCs w:val="24"/>
        </w:rPr>
        <w:t>n Science Degree includes the completion of at least three units each in Areas A1, A2, B1, B2, C1, C2 and D1, D2.</w:t>
      </w:r>
    </w:p>
    <w:p w:rsidR="00580C2A" w:rsidRDefault="00580C2A">
      <w:pPr>
        <w:rPr>
          <w:rFonts w:ascii="Arial" w:eastAsia="Arial" w:hAnsi="Arial" w:cs="Arial"/>
          <w:sz w:val="24"/>
          <w:szCs w:val="24"/>
        </w:rPr>
      </w:pPr>
    </w:p>
    <w:p w:rsidR="00580C2A" w:rsidRDefault="003F6B74">
      <w:pPr>
        <w:pBdr>
          <w:top w:val="nil"/>
          <w:left w:val="nil"/>
          <w:bottom w:val="nil"/>
          <w:right w:val="nil"/>
          <w:between w:val="nil"/>
        </w:pBdr>
        <w:ind w:left="139" w:right="155"/>
        <w:rPr>
          <w:rFonts w:ascii="Arial" w:eastAsia="Arial" w:hAnsi="Arial" w:cs="Arial"/>
          <w:color w:val="000000"/>
          <w:sz w:val="24"/>
          <w:szCs w:val="24"/>
        </w:rPr>
      </w:pPr>
      <w:r>
        <w:rPr>
          <w:rFonts w:ascii="Arial" w:eastAsia="Arial" w:hAnsi="Arial" w:cs="Arial"/>
          <w:color w:val="000000"/>
          <w:sz w:val="24"/>
          <w:szCs w:val="24"/>
        </w:rPr>
        <w:t xml:space="preserve">Courses listed in two different areas (A–D) may be used to satisfy a requirement in one area but not both. </w:t>
      </w:r>
    </w:p>
    <w:p w:rsidR="00580C2A" w:rsidRDefault="00580C2A">
      <w:pPr>
        <w:rPr>
          <w:rFonts w:ascii="Arial" w:eastAsia="Arial" w:hAnsi="Arial" w:cs="Arial"/>
          <w:sz w:val="24"/>
          <w:szCs w:val="24"/>
        </w:rPr>
      </w:pPr>
    </w:p>
    <w:p w:rsidR="00580C2A" w:rsidRDefault="003F6B74">
      <w:pPr>
        <w:pBdr>
          <w:top w:val="nil"/>
          <w:left w:val="nil"/>
          <w:bottom w:val="nil"/>
          <w:right w:val="nil"/>
          <w:between w:val="nil"/>
        </w:pBdr>
        <w:ind w:left="139" w:right="636"/>
        <w:rPr>
          <w:rFonts w:ascii="Arial" w:eastAsia="Arial" w:hAnsi="Arial" w:cs="Arial"/>
          <w:color w:val="000000"/>
          <w:sz w:val="24"/>
          <w:szCs w:val="24"/>
        </w:rPr>
      </w:pPr>
      <w:r>
        <w:rPr>
          <w:rFonts w:ascii="Arial" w:eastAsia="Arial" w:hAnsi="Arial" w:cs="Arial"/>
          <w:color w:val="000000"/>
          <w:sz w:val="24"/>
          <w:szCs w:val="24"/>
        </w:rPr>
        <w:t>A course listed in any area (A–D) may satisfy both a general education and a major requirement.</w:t>
      </w:r>
    </w:p>
    <w:p w:rsidR="00580C2A" w:rsidRDefault="00580C2A">
      <w:pPr>
        <w:rPr>
          <w:rFonts w:ascii="Arial" w:eastAsia="Arial" w:hAnsi="Arial" w:cs="Arial"/>
          <w:sz w:val="24"/>
          <w:szCs w:val="24"/>
        </w:rPr>
      </w:pPr>
    </w:p>
    <w:p w:rsidR="00580C2A" w:rsidRDefault="003F6B74">
      <w:pPr>
        <w:pBdr>
          <w:top w:val="nil"/>
          <w:left w:val="nil"/>
          <w:bottom w:val="nil"/>
          <w:right w:val="nil"/>
          <w:between w:val="nil"/>
        </w:pBdr>
        <w:ind w:left="100" w:right="248"/>
        <w:rPr>
          <w:rFonts w:ascii="Arial" w:eastAsia="Arial" w:hAnsi="Arial" w:cs="Arial"/>
          <w:color w:val="000000"/>
          <w:sz w:val="24"/>
          <w:szCs w:val="24"/>
        </w:rPr>
      </w:pPr>
      <w:r>
        <w:rPr>
          <w:rFonts w:ascii="Arial" w:eastAsia="Arial" w:hAnsi="Arial" w:cs="Arial"/>
          <w:color w:val="000000"/>
          <w:sz w:val="24"/>
          <w:szCs w:val="24"/>
        </w:rPr>
        <w:t>In lieu of the above, students may satisfy the general education requirements for an Associate Degree at Fullerton College by completing the California State U</w:t>
      </w:r>
      <w:r>
        <w:rPr>
          <w:rFonts w:ascii="Arial" w:eastAsia="Arial" w:hAnsi="Arial" w:cs="Arial"/>
          <w:color w:val="000000"/>
          <w:sz w:val="24"/>
          <w:szCs w:val="24"/>
        </w:rPr>
        <w:t xml:space="preserve">niversity General Education (CSU GE) or the </w:t>
      </w:r>
      <w:proofErr w:type="spellStart"/>
      <w:r>
        <w:rPr>
          <w:rFonts w:ascii="Arial" w:eastAsia="Arial" w:hAnsi="Arial" w:cs="Arial"/>
          <w:color w:val="000000"/>
          <w:sz w:val="24"/>
          <w:szCs w:val="24"/>
        </w:rPr>
        <w:t>Intersegmental</w:t>
      </w:r>
      <w:proofErr w:type="spellEnd"/>
      <w:r>
        <w:rPr>
          <w:rFonts w:ascii="Arial" w:eastAsia="Arial" w:hAnsi="Arial" w:cs="Arial"/>
          <w:color w:val="000000"/>
          <w:sz w:val="24"/>
          <w:szCs w:val="24"/>
        </w:rPr>
        <w:t xml:space="preserve"> General Education Transfer Curriculum (IGETC) pattern.</w:t>
      </w:r>
    </w:p>
    <w:p w:rsidR="00580C2A" w:rsidRDefault="00580C2A">
      <w:pPr>
        <w:pBdr>
          <w:top w:val="nil"/>
          <w:left w:val="nil"/>
          <w:bottom w:val="nil"/>
          <w:right w:val="nil"/>
          <w:between w:val="nil"/>
        </w:pBdr>
        <w:ind w:left="100" w:right="248"/>
        <w:rPr>
          <w:rFonts w:ascii="Arial" w:eastAsia="Arial" w:hAnsi="Arial" w:cs="Arial"/>
          <w:color w:val="000000"/>
          <w:sz w:val="24"/>
          <w:szCs w:val="24"/>
        </w:rPr>
      </w:pPr>
    </w:p>
    <w:p w:rsidR="00580C2A" w:rsidRDefault="00580C2A">
      <w:pPr>
        <w:rPr>
          <w:rFonts w:ascii="Arial" w:eastAsia="Arial" w:hAnsi="Arial" w:cs="Arial"/>
          <w:sz w:val="10"/>
          <w:szCs w:val="10"/>
        </w:rPr>
      </w:pPr>
    </w:p>
    <w:p w:rsidR="00580C2A" w:rsidRDefault="003F6B74">
      <w:pPr>
        <w:numPr>
          <w:ilvl w:val="0"/>
          <w:numId w:val="1"/>
        </w:numPr>
        <w:pBdr>
          <w:top w:val="nil"/>
          <w:left w:val="nil"/>
          <w:bottom w:val="nil"/>
          <w:right w:val="nil"/>
          <w:between w:val="nil"/>
        </w:pBdr>
        <w:tabs>
          <w:tab w:val="left" w:pos="820"/>
        </w:tabs>
        <w:ind w:right="376"/>
        <w:rPr>
          <w:color w:val="000000"/>
        </w:rPr>
      </w:pPr>
      <w:r>
        <w:rPr>
          <w:rFonts w:ascii="Arial" w:eastAsia="Arial" w:hAnsi="Arial" w:cs="Arial"/>
          <w:color w:val="000000"/>
          <w:sz w:val="24"/>
          <w:szCs w:val="24"/>
        </w:rPr>
        <w:t>Specific courses within the GE program at Fullerton College fulfill the following criteria as related to their area of specialty:</w:t>
      </w:r>
    </w:p>
    <w:p w:rsidR="00580C2A" w:rsidRDefault="00580C2A">
      <w:pPr>
        <w:rPr>
          <w:rFonts w:ascii="Arial" w:eastAsia="Arial" w:hAnsi="Arial" w:cs="Arial"/>
          <w:sz w:val="10"/>
          <w:szCs w:val="10"/>
        </w:rPr>
      </w:pPr>
    </w:p>
    <w:p w:rsidR="00580C2A" w:rsidRDefault="003F6B74">
      <w:pPr>
        <w:numPr>
          <w:ilvl w:val="1"/>
          <w:numId w:val="1"/>
        </w:numPr>
        <w:pBdr>
          <w:top w:val="nil"/>
          <w:left w:val="nil"/>
          <w:bottom w:val="nil"/>
          <w:right w:val="nil"/>
          <w:between w:val="nil"/>
        </w:pBdr>
        <w:tabs>
          <w:tab w:val="left" w:pos="1540"/>
        </w:tabs>
        <w:ind w:right="201"/>
        <w:rPr>
          <w:color w:val="000000"/>
        </w:rPr>
      </w:pPr>
      <w:r>
        <w:rPr>
          <w:rFonts w:ascii="Arial" w:eastAsia="Arial" w:hAnsi="Arial" w:cs="Arial"/>
          <w:b/>
          <w:color w:val="000000"/>
          <w:sz w:val="24"/>
          <w:szCs w:val="24"/>
        </w:rPr>
        <w:t>Area A—Language and Reasoning:</w:t>
      </w:r>
      <w:r>
        <w:rPr>
          <w:rFonts w:ascii="Arial" w:eastAsia="Arial" w:hAnsi="Arial" w:cs="Arial"/>
          <w:color w:val="000000"/>
          <w:sz w:val="24"/>
          <w:szCs w:val="24"/>
        </w:rPr>
        <w:t xml:space="preserve"> These courses develop the principles and applications of language toward the following for the student:</w:t>
      </w:r>
    </w:p>
    <w:p w:rsidR="00580C2A" w:rsidRDefault="00580C2A">
      <w:pPr>
        <w:rPr>
          <w:rFonts w:ascii="Arial" w:eastAsia="Arial" w:hAnsi="Arial" w:cs="Arial"/>
          <w:sz w:val="10"/>
          <w:szCs w:val="10"/>
        </w:rPr>
      </w:pPr>
    </w:p>
    <w:p w:rsidR="00580C2A" w:rsidRDefault="003F6B74">
      <w:pPr>
        <w:numPr>
          <w:ilvl w:val="2"/>
          <w:numId w:val="1"/>
        </w:numPr>
        <w:pBdr>
          <w:top w:val="nil"/>
          <w:left w:val="nil"/>
          <w:bottom w:val="nil"/>
          <w:right w:val="nil"/>
          <w:between w:val="nil"/>
        </w:pBdr>
        <w:tabs>
          <w:tab w:val="left" w:pos="2260"/>
        </w:tabs>
        <w:ind w:hanging="719"/>
        <w:rPr>
          <w:color w:val="000000"/>
        </w:rPr>
      </w:pPr>
      <w:r>
        <w:rPr>
          <w:rFonts w:ascii="Arial" w:eastAsia="Arial" w:hAnsi="Arial" w:cs="Arial"/>
          <w:color w:val="000000"/>
          <w:sz w:val="24"/>
          <w:szCs w:val="24"/>
        </w:rPr>
        <w:t>Logical thought</w:t>
      </w:r>
    </w:p>
    <w:p w:rsidR="00580C2A" w:rsidRDefault="00580C2A">
      <w:pPr>
        <w:rPr>
          <w:rFonts w:ascii="Arial" w:eastAsia="Arial" w:hAnsi="Arial" w:cs="Arial"/>
          <w:sz w:val="10"/>
          <w:szCs w:val="10"/>
        </w:rPr>
      </w:pPr>
    </w:p>
    <w:p w:rsidR="00580C2A" w:rsidRDefault="003F6B74">
      <w:pPr>
        <w:numPr>
          <w:ilvl w:val="2"/>
          <w:numId w:val="1"/>
        </w:numPr>
        <w:pBdr>
          <w:top w:val="nil"/>
          <w:left w:val="nil"/>
          <w:bottom w:val="nil"/>
          <w:right w:val="nil"/>
          <w:between w:val="nil"/>
        </w:pBdr>
        <w:tabs>
          <w:tab w:val="left" w:pos="2260"/>
        </w:tabs>
        <w:ind w:hanging="719"/>
        <w:rPr>
          <w:color w:val="000000"/>
        </w:rPr>
      </w:pPr>
      <w:r>
        <w:rPr>
          <w:rFonts w:ascii="Arial" w:eastAsia="Arial" w:hAnsi="Arial" w:cs="Arial"/>
          <w:color w:val="000000"/>
          <w:sz w:val="24"/>
          <w:szCs w:val="24"/>
        </w:rPr>
        <w:t>Clear and precise expression</w:t>
      </w:r>
    </w:p>
    <w:p w:rsidR="00580C2A" w:rsidRDefault="00580C2A">
      <w:pPr>
        <w:rPr>
          <w:rFonts w:ascii="Arial" w:eastAsia="Arial" w:hAnsi="Arial" w:cs="Arial"/>
          <w:sz w:val="10"/>
          <w:szCs w:val="10"/>
        </w:rPr>
      </w:pPr>
    </w:p>
    <w:p w:rsidR="00580C2A" w:rsidRDefault="003F6B74">
      <w:pPr>
        <w:numPr>
          <w:ilvl w:val="2"/>
          <w:numId w:val="1"/>
        </w:numPr>
        <w:pBdr>
          <w:top w:val="nil"/>
          <w:left w:val="nil"/>
          <w:bottom w:val="nil"/>
          <w:right w:val="nil"/>
          <w:between w:val="nil"/>
        </w:pBdr>
        <w:tabs>
          <w:tab w:val="left" w:pos="2260"/>
        </w:tabs>
        <w:ind w:hanging="719"/>
        <w:rPr>
          <w:color w:val="000000"/>
        </w:rPr>
      </w:pPr>
      <w:r>
        <w:rPr>
          <w:rFonts w:ascii="Arial" w:eastAsia="Arial" w:hAnsi="Arial" w:cs="Arial"/>
          <w:color w:val="000000"/>
          <w:sz w:val="24"/>
          <w:szCs w:val="24"/>
        </w:rPr>
        <w:t>Critical evaluation of communication</w:t>
      </w:r>
    </w:p>
    <w:p w:rsidR="00580C2A" w:rsidRDefault="00580C2A">
      <w:pPr>
        <w:pBdr>
          <w:top w:val="nil"/>
          <w:left w:val="nil"/>
          <w:bottom w:val="nil"/>
          <w:right w:val="nil"/>
          <w:between w:val="nil"/>
        </w:pBdr>
        <w:rPr>
          <w:rFonts w:ascii="Arial" w:eastAsia="Arial" w:hAnsi="Arial" w:cs="Arial"/>
          <w:color w:val="000000"/>
          <w:sz w:val="24"/>
          <w:szCs w:val="24"/>
        </w:rPr>
      </w:pPr>
    </w:p>
    <w:p w:rsidR="00580C2A" w:rsidRDefault="00580C2A">
      <w:pPr>
        <w:pBdr>
          <w:top w:val="nil"/>
          <w:left w:val="nil"/>
          <w:bottom w:val="nil"/>
          <w:right w:val="nil"/>
          <w:between w:val="nil"/>
        </w:pBdr>
        <w:tabs>
          <w:tab w:val="left" w:pos="2260"/>
        </w:tabs>
        <w:ind w:left="2259"/>
        <w:rPr>
          <w:rFonts w:ascii="Arial" w:eastAsia="Arial" w:hAnsi="Arial" w:cs="Arial"/>
          <w:color w:val="000000"/>
          <w:sz w:val="24"/>
          <w:szCs w:val="24"/>
        </w:rPr>
      </w:pPr>
    </w:p>
    <w:p w:rsidR="00580C2A" w:rsidRDefault="00580C2A">
      <w:pPr>
        <w:pBdr>
          <w:top w:val="nil"/>
          <w:left w:val="nil"/>
          <w:bottom w:val="nil"/>
          <w:right w:val="nil"/>
          <w:between w:val="nil"/>
        </w:pBdr>
        <w:tabs>
          <w:tab w:val="left" w:pos="2260"/>
        </w:tabs>
        <w:ind w:left="2259"/>
        <w:rPr>
          <w:rFonts w:ascii="Arial" w:eastAsia="Arial" w:hAnsi="Arial" w:cs="Arial"/>
          <w:color w:val="000000"/>
          <w:sz w:val="24"/>
          <w:szCs w:val="24"/>
        </w:rPr>
      </w:pPr>
    </w:p>
    <w:p w:rsidR="00580C2A" w:rsidRDefault="00580C2A">
      <w:pPr>
        <w:rPr>
          <w:rFonts w:ascii="Arial" w:eastAsia="Arial" w:hAnsi="Arial" w:cs="Arial"/>
          <w:sz w:val="10"/>
          <w:szCs w:val="10"/>
        </w:rPr>
      </w:pPr>
    </w:p>
    <w:p w:rsidR="00580C2A" w:rsidRDefault="003F6B74">
      <w:pPr>
        <w:numPr>
          <w:ilvl w:val="3"/>
          <w:numId w:val="1"/>
        </w:numPr>
        <w:pBdr>
          <w:top w:val="nil"/>
          <w:left w:val="nil"/>
          <w:bottom w:val="nil"/>
          <w:right w:val="nil"/>
          <w:between w:val="nil"/>
        </w:pBdr>
        <w:tabs>
          <w:tab w:val="left" w:pos="2980"/>
        </w:tabs>
        <w:ind w:left="2606" w:right="259"/>
        <w:rPr>
          <w:b/>
          <w:color w:val="000000"/>
        </w:rPr>
      </w:pPr>
      <w:r>
        <w:rPr>
          <w:rFonts w:ascii="Arial" w:eastAsia="Arial" w:hAnsi="Arial" w:cs="Arial"/>
          <w:b/>
          <w:color w:val="000000"/>
          <w:sz w:val="24"/>
          <w:szCs w:val="24"/>
        </w:rPr>
        <w:t>Area A1:  Written Communication</w:t>
      </w:r>
    </w:p>
    <w:p w:rsidR="00580C2A" w:rsidRDefault="003F6B74">
      <w:pPr>
        <w:pBdr>
          <w:top w:val="nil"/>
          <w:left w:val="nil"/>
          <w:bottom w:val="nil"/>
          <w:right w:val="nil"/>
          <w:between w:val="nil"/>
        </w:pBdr>
        <w:tabs>
          <w:tab w:val="left" w:pos="2980"/>
        </w:tabs>
        <w:ind w:left="2606" w:right="259"/>
        <w:rPr>
          <w:rFonts w:ascii="Arial" w:eastAsia="Arial" w:hAnsi="Arial" w:cs="Arial"/>
          <w:color w:val="000000"/>
          <w:sz w:val="24"/>
          <w:szCs w:val="24"/>
        </w:rPr>
      </w:pPr>
      <w:r>
        <w:rPr>
          <w:rFonts w:ascii="Arial" w:eastAsia="Arial" w:hAnsi="Arial" w:cs="Arial"/>
          <w:color w:val="000000"/>
          <w:sz w:val="24"/>
          <w:szCs w:val="24"/>
        </w:rPr>
        <w:t xml:space="preserve">Composition courses must include both expository and argumentative writing. These courses have an appropriate prerequisite that distinguishes them from a remedial course. Students will develop proficiency in written communication in English. These courses </w:t>
      </w:r>
      <w:r>
        <w:rPr>
          <w:rFonts w:ascii="Arial" w:eastAsia="Arial" w:hAnsi="Arial" w:cs="Arial"/>
          <w:color w:val="000000"/>
          <w:sz w:val="24"/>
          <w:szCs w:val="24"/>
        </w:rPr>
        <w:t xml:space="preserve">must include a research component. </w:t>
      </w:r>
    </w:p>
    <w:p w:rsidR="00580C2A" w:rsidRDefault="00580C2A">
      <w:pPr>
        <w:pBdr>
          <w:top w:val="nil"/>
          <w:left w:val="nil"/>
          <w:bottom w:val="nil"/>
          <w:right w:val="nil"/>
          <w:between w:val="nil"/>
        </w:pBdr>
        <w:tabs>
          <w:tab w:val="left" w:pos="2980"/>
        </w:tabs>
        <w:ind w:left="2606" w:right="259"/>
        <w:rPr>
          <w:rFonts w:ascii="Arial" w:eastAsia="Arial" w:hAnsi="Arial" w:cs="Arial"/>
          <w:color w:val="000000"/>
          <w:sz w:val="10"/>
          <w:szCs w:val="10"/>
        </w:rPr>
      </w:pPr>
    </w:p>
    <w:p w:rsidR="00580C2A" w:rsidRDefault="003F6B74">
      <w:pPr>
        <w:numPr>
          <w:ilvl w:val="3"/>
          <w:numId w:val="1"/>
        </w:numPr>
        <w:pBdr>
          <w:top w:val="nil"/>
          <w:left w:val="nil"/>
          <w:bottom w:val="nil"/>
          <w:right w:val="nil"/>
          <w:between w:val="nil"/>
        </w:pBdr>
        <w:tabs>
          <w:tab w:val="left" w:pos="2980"/>
        </w:tabs>
        <w:ind w:left="2606" w:right="259"/>
        <w:rPr>
          <w:b/>
          <w:color w:val="000000"/>
        </w:rPr>
      </w:pPr>
      <w:r>
        <w:rPr>
          <w:rFonts w:ascii="Arial" w:eastAsia="Arial" w:hAnsi="Arial" w:cs="Arial"/>
          <w:b/>
          <w:color w:val="000000"/>
          <w:sz w:val="24"/>
          <w:szCs w:val="24"/>
        </w:rPr>
        <w:t>Area A2:  Analytical Thinking</w:t>
      </w:r>
    </w:p>
    <w:p w:rsidR="00580C2A" w:rsidRDefault="003F6B74">
      <w:pPr>
        <w:pBdr>
          <w:top w:val="nil"/>
          <w:left w:val="nil"/>
          <w:bottom w:val="nil"/>
          <w:right w:val="nil"/>
          <w:between w:val="nil"/>
        </w:pBdr>
        <w:tabs>
          <w:tab w:val="left" w:pos="2980"/>
        </w:tabs>
        <w:ind w:left="2606" w:right="259"/>
        <w:rPr>
          <w:rFonts w:ascii="Arial" w:eastAsia="Arial" w:hAnsi="Arial" w:cs="Arial"/>
          <w:color w:val="000000"/>
          <w:sz w:val="24"/>
          <w:szCs w:val="24"/>
        </w:rPr>
      </w:pPr>
      <w:r>
        <w:rPr>
          <w:rFonts w:ascii="Arial" w:eastAsia="Arial" w:hAnsi="Arial" w:cs="Arial"/>
          <w:color w:val="000000"/>
          <w:sz w:val="24"/>
          <w:szCs w:val="24"/>
        </w:rPr>
        <w:t>These critical thinking courses include critical thinking focused English composition courses examining information literacy from the rhetorical perspective practicing reasoning and advocac</w:t>
      </w:r>
      <w:r>
        <w:rPr>
          <w:rFonts w:ascii="Arial" w:eastAsia="Arial" w:hAnsi="Arial" w:cs="Arial"/>
          <w:color w:val="000000"/>
          <w:sz w:val="24"/>
          <w:szCs w:val="24"/>
        </w:rPr>
        <w:t xml:space="preserve">y, organization, and accuracy; as well as courses in oral communication, reading, logic, statistics (with a prerequisite of elementary algebra or higher), computer languages and programming, and related disciplines. </w:t>
      </w:r>
    </w:p>
    <w:p w:rsidR="00580C2A" w:rsidRDefault="00580C2A">
      <w:pPr>
        <w:pBdr>
          <w:top w:val="nil"/>
          <w:left w:val="nil"/>
          <w:bottom w:val="nil"/>
          <w:right w:val="nil"/>
          <w:between w:val="nil"/>
        </w:pBdr>
        <w:tabs>
          <w:tab w:val="left" w:pos="2980"/>
        </w:tabs>
        <w:ind w:left="2606" w:right="259"/>
        <w:rPr>
          <w:rFonts w:ascii="Arial" w:eastAsia="Arial" w:hAnsi="Arial" w:cs="Arial"/>
          <w:color w:val="000000"/>
          <w:sz w:val="24"/>
          <w:szCs w:val="24"/>
        </w:rPr>
      </w:pPr>
    </w:p>
    <w:p w:rsidR="00580C2A" w:rsidRDefault="003F6B74">
      <w:pPr>
        <w:numPr>
          <w:ilvl w:val="1"/>
          <w:numId w:val="1"/>
        </w:numPr>
        <w:pBdr>
          <w:top w:val="nil"/>
          <w:left w:val="nil"/>
          <w:bottom w:val="nil"/>
          <w:right w:val="nil"/>
          <w:between w:val="nil"/>
        </w:pBdr>
        <w:tabs>
          <w:tab w:val="left" w:pos="1160"/>
        </w:tabs>
        <w:ind w:left="1160" w:right="176"/>
        <w:rPr>
          <w:color w:val="000000"/>
        </w:rPr>
      </w:pPr>
      <w:r>
        <w:rPr>
          <w:rFonts w:ascii="Arial" w:eastAsia="Arial" w:hAnsi="Arial" w:cs="Arial"/>
          <w:b/>
          <w:color w:val="000000"/>
          <w:sz w:val="24"/>
          <w:szCs w:val="24"/>
        </w:rPr>
        <w:t>Area B1 and B2 —Natural Sciences and M</w:t>
      </w:r>
      <w:r>
        <w:rPr>
          <w:rFonts w:ascii="Arial" w:eastAsia="Arial" w:hAnsi="Arial" w:cs="Arial"/>
          <w:b/>
          <w:color w:val="000000"/>
          <w:sz w:val="24"/>
          <w:szCs w:val="24"/>
        </w:rPr>
        <w:t>athematics</w:t>
      </w:r>
      <w:r>
        <w:rPr>
          <w:rFonts w:ascii="Arial" w:eastAsia="Arial" w:hAnsi="Arial" w:cs="Arial"/>
          <w:color w:val="000000"/>
          <w:sz w:val="24"/>
          <w:szCs w:val="24"/>
        </w:rPr>
        <w:t>: These courses examine the physical universe, its life forms, and its natural phenomena. These courses also should do the following:</w:t>
      </w:r>
    </w:p>
    <w:p w:rsidR="00580C2A" w:rsidRDefault="00580C2A">
      <w:pPr>
        <w:rPr>
          <w:rFonts w:ascii="Arial" w:eastAsia="Arial" w:hAnsi="Arial" w:cs="Arial"/>
          <w:sz w:val="10"/>
          <w:szCs w:val="10"/>
        </w:rPr>
      </w:pPr>
    </w:p>
    <w:p w:rsidR="00580C2A" w:rsidRDefault="003F6B74">
      <w:pPr>
        <w:numPr>
          <w:ilvl w:val="2"/>
          <w:numId w:val="1"/>
        </w:numPr>
        <w:pBdr>
          <w:top w:val="nil"/>
          <w:left w:val="nil"/>
          <w:bottom w:val="nil"/>
          <w:right w:val="nil"/>
          <w:between w:val="nil"/>
        </w:pBdr>
        <w:tabs>
          <w:tab w:val="left" w:pos="1880"/>
        </w:tabs>
        <w:ind w:left="1880" w:right="214"/>
        <w:rPr>
          <w:color w:val="000000"/>
        </w:rPr>
      </w:pPr>
      <w:r>
        <w:rPr>
          <w:rFonts w:ascii="Arial" w:eastAsia="Arial" w:hAnsi="Arial" w:cs="Arial"/>
          <w:color w:val="000000"/>
          <w:sz w:val="24"/>
          <w:szCs w:val="24"/>
        </w:rPr>
        <w:t>Help the student develop an appreciation and understanding of the scientific method.</w:t>
      </w:r>
    </w:p>
    <w:p w:rsidR="00580C2A" w:rsidRDefault="00580C2A">
      <w:pPr>
        <w:rPr>
          <w:rFonts w:ascii="Arial" w:eastAsia="Arial" w:hAnsi="Arial" w:cs="Arial"/>
          <w:sz w:val="10"/>
          <w:szCs w:val="10"/>
        </w:rPr>
      </w:pPr>
    </w:p>
    <w:p w:rsidR="00580C2A" w:rsidRDefault="003F6B74">
      <w:pPr>
        <w:numPr>
          <w:ilvl w:val="2"/>
          <w:numId w:val="1"/>
        </w:numPr>
        <w:pBdr>
          <w:top w:val="nil"/>
          <w:left w:val="nil"/>
          <w:bottom w:val="nil"/>
          <w:right w:val="nil"/>
          <w:between w:val="nil"/>
        </w:pBdr>
        <w:tabs>
          <w:tab w:val="left" w:pos="1880"/>
        </w:tabs>
        <w:ind w:left="1880" w:right="281"/>
        <w:rPr>
          <w:color w:val="000000"/>
        </w:rPr>
      </w:pPr>
      <w:r>
        <w:rPr>
          <w:rFonts w:ascii="Arial" w:eastAsia="Arial" w:hAnsi="Arial" w:cs="Arial"/>
          <w:color w:val="000000"/>
          <w:sz w:val="24"/>
          <w:szCs w:val="24"/>
        </w:rPr>
        <w:t>Encourage an understanding of the relationships between science and other human activities.</w:t>
      </w:r>
    </w:p>
    <w:p w:rsidR="00580C2A" w:rsidRDefault="00580C2A">
      <w:pPr>
        <w:rPr>
          <w:rFonts w:ascii="Arial" w:eastAsia="Arial" w:hAnsi="Arial" w:cs="Arial"/>
          <w:sz w:val="10"/>
          <w:szCs w:val="10"/>
        </w:rPr>
      </w:pPr>
    </w:p>
    <w:p w:rsidR="00580C2A" w:rsidRDefault="003F6B74">
      <w:pPr>
        <w:pBdr>
          <w:top w:val="nil"/>
          <w:left w:val="nil"/>
          <w:bottom w:val="nil"/>
          <w:right w:val="nil"/>
          <w:between w:val="nil"/>
        </w:pBdr>
        <w:ind w:left="1160" w:right="90"/>
        <w:rPr>
          <w:rFonts w:ascii="Arial" w:eastAsia="Arial" w:hAnsi="Arial" w:cs="Arial"/>
          <w:color w:val="000000"/>
          <w:sz w:val="24"/>
          <w:szCs w:val="24"/>
        </w:rPr>
      </w:pPr>
      <w:r>
        <w:rPr>
          <w:rFonts w:ascii="Arial" w:eastAsia="Arial" w:hAnsi="Arial" w:cs="Arial"/>
          <w:color w:val="000000"/>
          <w:sz w:val="24"/>
          <w:szCs w:val="24"/>
        </w:rPr>
        <w:t>These courses include introductory or integrative courses in astronomy, biology, chemistry, general physical science, geology, astronomy, mathematics, oceanography</w:t>
      </w:r>
      <w:r>
        <w:rPr>
          <w:rFonts w:ascii="Arial" w:eastAsia="Arial" w:hAnsi="Arial" w:cs="Arial"/>
          <w:color w:val="000000"/>
          <w:sz w:val="24"/>
          <w:szCs w:val="24"/>
        </w:rPr>
        <w:t>, physical geography, physical anthropology, physics, and other scientific disciplines.</w:t>
      </w:r>
    </w:p>
    <w:p w:rsidR="00580C2A" w:rsidRDefault="00580C2A">
      <w:pPr>
        <w:pBdr>
          <w:top w:val="nil"/>
          <w:left w:val="nil"/>
          <w:bottom w:val="nil"/>
          <w:right w:val="nil"/>
          <w:between w:val="nil"/>
        </w:pBdr>
        <w:ind w:left="1160" w:right="90"/>
        <w:rPr>
          <w:rFonts w:ascii="Arial" w:eastAsia="Arial" w:hAnsi="Arial" w:cs="Arial"/>
          <w:color w:val="000000"/>
          <w:sz w:val="24"/>
          <w:szCs w:val="24"/>
        </w:rPr>
      </w:pPr>
    </w:p>
    <w:p w:rsidR="00580C2A" w:rsidRDefault="003F6B74">
      <w:pPr>
        <w:pBdr>
          <w:top w:val="nil"/>
          <w:left w:val="nil"/>
          <w:bottom w:val="nil"/>
          <w:right w:val="nil"/>
          <w:between w:val="nil"/>
        </w:pBdr>
        <w:ind w:left="2155" w:right="90" w:hanging="435"/>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r>
      <w:r>
        <w:rPr>
          <w:rFonts w:ascii="Arial" w:eastAsia="Arial" w:hAnsi="Arial" w:cs="Arial"/>
          <w:b/>
          <w:color w:val="000000"/>
          <w:sz w:val="24"/>
          <w:szCs w:val="24"/>
        </w:rPr>
        <w:t>Area B1:  Physical Science and Life Sciences</w:t>
      </w:r>
    </w:p>
    <w:p w:rsidR="00580C2A" w:rsidRDefault="003F6B74">
      <w:pPr>
        <w:pBdr>
          <w:top w:val="nil"/>
          <w:left w:val="nil"/>
          <w:bottom w:val="nil"/>
          <w:right w:val="nil"/>
          <w:between w:val="nil"/>
        </w:pBdr>
        <w:ind w:left="2155" w:right="90"/>
        <w:rPr>
          <w:rFonts w:ascii="Arial" w:eastAsia="Arial" w:hAnsi="Arial" w:cs="Arial"/>
          <w:color w:val="000000"/>
          <w:sz w:val="24"/>
          <w:szCs w:val="24"/>
        </w:rPr>
      </w:pPr>
      <w:r>
        <w:rPr>
          <w:rFonts w:ascii="Arial" w:eastAsia="Arial" w:hAnsi="Arial" w:cs="Arial"/>
          <w:color w:val="000000"/>
          <w:sz w:val="24"/>
          <w:szCs w:val="24"/>
        </w:rPr>
        <w:t>Students develop knowledge of scientific theories, concepts, and data about both living and non-living systems. Students will achieve an understanding and appreciation of scientific principles and the scientific method, as well as the potential limits of s</w:t>
      </w:r>
      <w:r>
        <w:rPr>
          <w:rFonts w:ascii="Arial" w:eastAsia="Arial" w:hAnsi="Arial" w:cs="Arial"/>
          <w:color w:val="000000"/>
          <w:sz w:val="24"/>
          <w:szCs w:val="24"/>
        </w:rPr>
        <w:t xml:space="preserve">cientific endeavors and the value systems and ethics associated with human inquiry. </w:t>
      </w:r>
    </w:p>
    <w:p w:rsidR="00580C2A" w:rsidRDefault="00580C2A">
      <w:pPr>
        <w:pBdr>
          <w:top w:val="nil"/>
          <w:left w:val="nil"/>
          <w:bottom w:val="nil"/>
          <w:right w:val="nil"/>
          <w:between w:val="nil"/>
        </w:pBdr>
        <w:ind w:left="1160" w:right="90" w:hanging="720"/>
        <w:rPr>
          <w:rFonts w:ascii="Arial" w:eastAsia="Arial" w:hAnsi="Arial" w:cs="Arial"/>
          <w:color w:val="000000"/>
          <w:sz w:val="24"/>
          <w:szCs w:val="24"/>
        </w:rPr>
      </w:pPr>
    </w:p>
    <w:p w:rsidR="00580C2A" w:rsidRDefault="003F6B74">
      <w:pPr>
        <w:pBdr>
          <w:top w:val="nil"/>
          <w:left w:val="nil"/>
          <w:bottom w:val="nil"/>
          <w:right w:val="nil"/>
          <w:between w:val="nil"/>
        </w:pBdr>
        <w:ind w:left="2155" w:right="90" w:hanging="435"/>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Pr>
          <w:rFonts w:ascii="Arial" w:eastAsia="Arial" w:hAnsi="Arial" w:cs="Arial"/>
          <w:b/>
          <w:color w:val="000000"/>
          <w:sz w:val="24"/>
          <w:szCs w:val="24"/>
        </w:rPr>
        <w:t>Area B2:  Mathematics</w:t>
      </w:r>
    </w:p>
    <w:p w:rsidR="00580C2A" w:rsidRDefault="003F6B74">
      <w:pPr>
        <w:pBdr>
          <w:top w:val="nil"/>
          <w:left w:val="nil"/>
          <w:bottom w:val="nil"/>
          <w:right w:val="nil"/>
          <w:between w:val="nil"/>
        </w:pBdr>
        <w:ind w:left="2155" w:right="90"/>
        <w:rPr>
          <w:rFonts w:ascii="Arial" w:eastAsia="Arial" w:hAnsi="Arial" w:cs="Arial"/>
          <w:color w:val="000000"/>
          <w:sz w:val="24"/>
          <w:szCs w:val="24"/>
        </w:rPr>
      </w:pPr>
      <w:r>
        <w:rPr>
          <w:rFonts w:ascii="Arial" w:eastAsia="Arial" w:hAnsi="Arial" w:cs="Arial"/>
          <w:color w:val="000000"/>
          <w:sz w:val="24"/>
          <w:szCs w:val="24"/>
        </w:rPr>
        <w:t>Students shall demonstrate the abilities to reason quantitatively, practice computational skills, and explain and apply mathematical or quantitat</w:t>
      </w:r>
      <w:r>
        <w:rPr>
          <w:rFonts w:ascii="Arial" w:eastAsia="Arial" w:hAnsi="Arial" w:cs="Arial"/>
          <w:color w:val="000000"/>
          <w:sz w:val="24"/>
          <w:szCs w:val="24"/>
        </w:rPr>
        <w:t>ive reasoning concepts to solve problems through a course with a prerequisite at the level and rigor of elementary algebra or higher.</w:t>
      </w:r>
    </w:p>
    <w:p w:rsidR="00580C2A" w:rsidRDefault="00580C2A">
      <w:pPr>
        <w:pBdr>
          <w:top w:val="nil"/>
          <w:left w:val="nil"/>
          <w:bottom w:val="nil"/>
          <w:right w:val="nil"/>
          <w:between w:val="nil"/>
        </w:pBdr>
        <w:ind w:left="1160" w:right="90"/>
        <w:rPr>
          <w:rFonts w:ascii="Arial" w:eastAsia="Arial" w:hAnsi="Arial" w:cs="Arial"/>
          <w:color w:val="000000"/>
          <w:sz w:val="24"/>
          <w:szCs w:val="24"/>
        </w:rPr>
      </w:pPr>
    </w:p>
    <w:p w:rsidR="00580C2A" w:rsidRDefault="003F6B74">
      <w:pPr>
        <w:numPr>
          <w:ilvl w:val="1"/>
          <w:numId w:val="1"/>
        </w:numPr>
        <w:pBdr>
          <w:top w:val="nil"/>
          <w:left w:val="nil"/>
          <w:bottom w:val="nil"/>
          <w:right w:val="nil"/>
          <w:between w:val="nil"/>
        </w:pBdr>
        <w:tabs>
          <w:tab w:val="left" w:pos="1160"/>
        </w:tabs>
        <w:ind w:left="1160" w:right="734"/>
        <w:jc w:val="both"/>
        <w:rPr>
          <w:color w:val="000000"/>
        </w:rPr>
      </w:pPr>
      <w:r>
        <w:rPr>
          <w:rFonts w:ascii="Arial" w:eastAsia="Arial" w:hAnsi="Arial" w:cs="Arial"/>
          <w:b/>
          <w:color w:val="000000"/>
          <w:sz w:val="24"/>
          <w:szCs w:val="24"/>
        </w:rPr>
        <w:t>Area C1 and C2 —Arts and Humanities</w:t>
      </w:r>
      <w:r>
        <w:rPr>
          <w:rFonts w:ascii="Arial" w:eastAsia="Arial" w:hAnsi="Arial" w:cs="Arial"/>
          <w:color w:val="000000"/>
          <w:sz w:val="24"/>
          <w:szCs w:val="24"/>
        </w:rPr>
        <w:t>: These courses study the cultural activities and artistic expressions of human beings. These courses should help the student develop the following:</w:t>
      </w:r>
    </w:p>
    <w:p w:rsidR="00580C2A" w:rsidRDefault="00580C2A">
      <w:pPr>
        <w:rPr>
          <w:rFonts w:ascii="Arial" w:eastAsia="Arial" w:hAnsi="Arial" w:cs="Arial"/>
          <w:sz w:val="10"/>
          <w:szCs w:val="10"/>
        </w:rPr>
      </w:pPr>
    </w:p>
    <w:p w:rsidR="00580C2A" w:rsidRDefault="003F6B74">
      <w:pPr>
        <w:numPr>
          <w:ilvl w:val="2"/>
          <w:numId w:val="1"/>
        </w:numPr>
        <w:pBdr>
          <w:top w:val="nil"/>
          <w:left w:val="nil"/>
          <w:bottom w:val="nil"/>
          <w:right w:val="nil"/>
          <w:between w:val="nil"/>
        </w:pBdr>
        <w:tabs>
          <w:tab w:val="left" w:pos="1880"/>
        </w:tabs>
        <w:ind w:left="1880" w:right="107"/>
        <w:rPr>
          <w:color w:val="000000"/>
        </w:rPr>
      </w:pPr>
      <w:r>
        <w:rPr>
          <w:rFonts w:ascii="Arial" w:eastAsia="Arial" w:hAnsi="Arial" w:cs="Arial"/>
          <w:color w:val="000000"/>
          <w:sz w:val="24"/>
          <w:szCs w:val="24"/>
        </w:rPr>
        <w:t>An awareness of the ways in which people throughout the ages and in different cultures have responded to t</w:t>
      </w:r>
      <w:r>
        <w:rPr>
          <w:rFonts w:ascii="Arial" w:eastAsia="Arial" w:hAnsi="Arial" w:cs="Arial"/>
          <w:color w:val="000000"/>
          <w:sz w:val="24"/>
          <w:szCs w:val="24"/>
        </w:rPr>
        <w:t>hemselves and the world around them in artistic and cultural creation.</w:t>
      </w:r>
    </w:p>
    <w:p w:rsidR="00580C2A" w:rsidRDefault="00580C2A">
      <w:pPr>
        <w:rPr>
          <w:rFonts w:ascii="Arial" w:eastAsia="Arial" w:hAnsi="Arial" w:cs="Arial"/>
          <w:sz w:val="10"/>
          <w:szCs w:val="10"/>
        </w:rPr>
      </w:pPr>
    </w:p>
    <w:p w:rsidR="00580C2A" w:rsidRDefault="003F6B74">
      <w:pPr>
        <w:numPr>
          <w:ilvl w:val="2"/>
          <w:numId w:val="1"/>
        </w:numPr>
        <w:pBdr>
          <w:top w:val="nil"/>
          <w:left w:val="nil"/>
          <w:bottom w:val="nil"/>
          <w:right w:val="nil"/>
          <w:between w:val="nil"/>
        </w:pBdr>
        <w:tabs>
          <w:tab w:val="left" w:pos="1880"/>
        </w:tabs>
        <w:ind w:left="1879" w:hanging="719"/>
        <w:rPr>
          <w:color w:val="000000"/>
        </w:rPr>
      </w:pPr>
      <w:r>
        <w:rPr>
          <w:rFonts w:ascii="Arial" w:eastAsia="Arial" w:hAnsi="Arial" w:cs="Arial"/>
          <w:color w:val="000000"/>
          <w:sz w:val="24"/>
          <w:szCs w:val="24"/>
        </w:rPr>
        <w:t>An aesthetic understanding.</w:t>
      </w:r>
    </w:p>
    <w:p w:rsidR="00580C2A" w:rsidRDefault="00580C2A">
      <w:pPr>
        <w:tabs>
          <w:tab w:val="left" w:pos="1880"/>
        </w:tabs>
        <w:rPr>
          <w:rFonts w:ascii="Arial" w:eastAsia="Arial" w:hAnsi="Arial" w:cs="Arial"/>
          <w:sz w:val="24"/>
          <w:szCs w:val="24"/>
        </w:rPr>
      </w:pPr>
    </w:p>
    <w:p w:rsidR="00580C2A" w:rsidRDefault="00580C2A">
      <w:pPr>
        <w:rPr>
          <w:rFonts w:ascii="Arial" w:eastAsia="Arial" w:hAnsi="Arial" w:cs="Arial"/>
          <w:sz w:val="10"/>
          <w:szCs w:val="10"/>
        </w:rPr>
      </w:pPr>
    </w:p>
    <w:p w:rsidR="00580C2A" w:rsidRDefault="003F6B74">
      <w:pPr>
        <w:numPr>
          <w:ilvl w:val="2"/>
          <w:numId w:val="1"/>
        </w:numPr>
        <w:pBdr>
          <w:top w:val="nil"/>
          <w:left w:val="nil"/>
          <w:bottom w:val="nil"/>
          <w:right w:val="nil"/>
          <w:between w:val="nil"/>
        </w:pBdr>
        <w:tabs>
          <w:tab w:val="left" w:pos="1880"/>
        </w:tabs>
        <w:ind w:left="1879" w:hanging="719"/>
        <w:rPr>
          <w:color w:val="000000"/>
        </w:rPr>
      </w:pPr>
      <w:r>
        <w:rPr>
          <w:rFonts w:ascii="Arial" w:eastAsia="Arial" w:hAnsi="Arial" w:cs="Arial"/>
          <w:color w:val="000000"/>
          <w:sz w:val="24"/>
          <w:szCs w:val="24"/>
        </w:rPr>
        <w:t>An ability to make value judgments.</w:t>
      </w:r>
    </w:p>
    <w:p w:rsidR="00580C2A" w:rsidRDefault="00580C2A">
      <w:pPr>
        <w:rPr>
          <w:rFonts w:ascii="Arial" w:eastAsia="Arial" w:hAnsi="Arial" w:cs="Arial"/>
          <w:sz w:val="10"/>
          <w:szCs w:val="10"/>
        </w:rPr>
      </w:pPr>
    </w:p>
    <w:p w:rsidR="00580C2A" w:rsidRDefault="003F6B74">
      <w:pPr>
        <w:pBdr>
          <w:top w:val="nil"/>
          <w:left w:val="nil"/>
          <w:bottom w:val="nil"/>
          <w:right w:val="nil"/>
          <w:between w:val="nil"/>
        </w:pBdr>
        <w:ind w:left="1160" w:right="729"/>
        <w:rPr>
          <w:rFonts w:ascii="Arial" w:eastAsia="Arial" w:hAnsi="Arial" w:cs="Arial"/>
          <w:color w:val="000000"/>
          <w:sz w:val="24"/>
          <w:szCs w:val="24"/>
        </w:rPr>
      </w:pPr>
      <w:r>
        <w:rPr>
          <w:rFonts w:ascii="Arial" w:eastAsia="Arial" w:hAnsi="Arial" w:cs="Arial"/>
          <w:color w:val="000000"/>
          <w:sz w:val="24"/>
          <w:szCs w:val="24"/>
        </w:rPr>
        <w:t>These courses include introductory or integrative courses in the arts, foreign languages, literature, philosophy, and religion.</w:t>
      </w:r>
    </w:p>
    <w:p w:rsidR="00580C2A" w:rsidRDefault="00580C2A">
      <w:pPr>
        <w:pBdr>
          <w:top w:val="nil"/>
          <w:left w:val="nil"/>
          <w:bottom w:val="nil"/>
          <w:right w:val="nil"/>
          <w:between w:val="nil"/>
        </w:pBdr>
        <w:ind w:left="2155" w:right="90" w:hanging="435"/>
        <w:rPr>
          <w:rFonts w:ascii="Arial" w:eastAsia="Arial" w:hAnsi="Arial" w:cs="Arial"/>
          <w:color w:val="000000"/>
          <w:sz w:val="24"/>
          <w:szCs w:val="24"/>
        </w:rPr>
      </w:pPr>
    </w:p>
    <w:p w:rsidR="00580C2A" w:rsidRDefault="003F6B74">
      <w:pPr>
        <w:pBdr>
          <w:top w:val="nil"/>
          <w:left w:val="nil"/>
          <w:bottom w:val="nil"/>
          <w:right w:val="nil"/>
          <w:between w:val="nil"/>
        </w:pBdr>
        <w:ind w:left="2155" w:right="90" w:hanging="435"/>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r>
      <w:r>
        <w:rPr>
          <w:rFonts w:ascii="Arial" w:eastAsia="Arial" w:hAnsi="Arial" w:cs="Arial"/>
          <w:b/>
          <w:color w:val="000000"/>
          <w:sz w:val="24"/>
          <w:szCs w:val="24"/>
        </w:rPr>
        <w:t>Area C1:  Visual Arts, Music, Theater, and Dance</w:t>
      </w:r>
    </w:p>
    <w:p w:rsidR="00580C2A" w:rsidRDefault="003F6B74">
      <w:pPr>
        <w:pBdr>
          <w:top w:val="nil"/>
          <w:left w:val="nil"/>
          <w:bottom w:val="nil"/>
          <w:right w:val="nil"/>
          <w:between w:val="nil"/>
        </w:pBdr>
        <w:ind w:left="2155" w:right="90"/>
        <w:rPr>
          <w:rFonts w:ascii="Arial" w:eastAsia="Arial" w:hAnsi="Arial" w:cs="Arial"/>
          <w:color w:val="000000"/>
          <w:sz w:val="24"/>
          <w:szCs w:val="24"/>
        </w:rPr>
      </w:pPr>
      <w:r>
        <w:rPr>
          <w:rFonts w:ascii="Arial" w:eastAsia="Arial" w:hAnsi="Arial" w:cs="Arial"/>
          <w:color w:val="000000"/>
          <w:sz w:val="24"/>
          <w:szCs w:val="24"/>
        </w:rPr>
        <w:t xml:space="preserve">Students will cultivate intellect, imagination, sensibility and sensitivity. Students will respond subjectively as well as objectively to aesthetic experiences and will develop an understanding of the integrity of both emotional and intellectual responses </w:t>
      </w:r>
      <w:r>
        <w:rPr>
          <w:rFonts w:ascii="Arial" w:eastAsia="Arial" w:hAnsi="Arial" w:cs="Arial"/>
          <w:color w:val="000000"/>
          <w:sz w:val="24"/>
          <w:szCs w:val="24"/>
        </w:rPr>
        <w:t xml:space="preserve">through theory and analysis. Students will cultivate and refine their affective, cognitive, and physical faculties through studying works of the human imagination. Activities may include participation in individual aesthetic, creative experiences. </w:t>
      </w:r>
    </w:p>
    <w:p w:rsidR="00580C2A" w:rsidRDefault="00580C2A">
      <w:pPr>
        <w:pBdr>
          <w:top w:val="nil"/>
          <w:left w:val="nil"/>
          <w:bottom w:val="nil"/>
          <w:right w:val="nil"/>
          <w:between w:val="nil"/>
        </w:pBdr>
        <w:ind w:left="1160" w:right="90" w:hanging="720"/>
        <w:rPr>
          <w:rFonts w:ascii="Arial" w:eastAsia="Arial" w:hAnsi="Arial" w:cs="Arial"/>
          <w:color w:val="000000"/>
          <w:sz w:val="24"/>
          <w:szCs w:val="24"/>
        </w:rPr>
      </w:pPr>
    </w:p>
    <w:p w:rsidR="00580C2A" w:rsidRDefault="003F6B74">
      <w:pPr>
        <w:pBdr>
          <w:top w:val="nil"/>
          <w:left w:val="nil"/>
          <w:bottom w:val="nil"/>
          <w:right w:val="nil"/>
          <w:between w:val="nil"/>
        </w:pBdr>
        <w:ind w:left="2155" w:right="90" w:hanging="435"/>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Pr>
          <w:rFonts w:ascii="Arial" w:eastAsia="Arial" w:hAnsi="Arial" w:cs="Arial"/>
          <w:b/>
          <w:color w:val="000000"/>
          <w:sz w:val="24"/>
          <w:szCs w:val="24"/>
        </w:rPr>
        <w:t>Are</w:t>
      </w:r>
      <w:r>
        <w:rPr>
          <w:rFonts w:ascii="Arial" w:eastAsia="Arial" w:hAnsi="Arial" w:cs="Arial"/>
          <w:b/>
          <w:color w:val="000000"/>
          <w:sz w:val="24"/>
          <w:szCs w:val="24"/>
        </w:rPr>
        <w:t>a C2:  Literature, Philosophy, Religion, and Foreign Language</w:t>
      </w:r>
    </w:p>
    <w:p w:rsidR="00580C2A" w:rsidRDefault="003F6B74">
      <w:pPr>
        <w:pBdr>
          <w:top w:val="nil"/>
          <w:left w:val="nil"/>
          <w:bottom w:val="nil"/>
          <w:right w:val="nil"/>
          <w:between w:val="nil"/>
        </w:pBdr>
        <w:ind w:left="2155" w:right="90"/>
        <w:rPr>
          <w:rFonts w:ascii="Arial" w:eastAsia="Arial" w:hAnsi="Arial" w:cs="Arial"/>
          <w:color w:val="000000"/>
          <w:sz w:val="24"/>
          <w:szCs w:val="24"/>
        </w:rPr>
      </w:pPr>
      <w:r>
        <w:rPr>
          <w:rFonts w:ascii="Arial" w:eastAsia="Arial" w:hAnsi="Arial" w:cs="Arial"/>
          <w:color w:val="000000"/>
          <w:sz w:val="24"/>
          <w:szCs w:val="24"/>
        </w:rPr>
        <w:t>Acceptable Humanities courses are those that encourage students to analyze and appreciate works of philosophical, historical, literary, aesthetic and cultural importance.</w:t>
      </w:r>
    </w:p>
    <w:p w:rsidR="00580C2A" w:rsidRDefault="00580C2A">
      <w:pPr>
        <w:pBdr>
          <w:top w:val="nil"/>
          <w:left w:val="nil"/>
          <w:bottom w:val="nil"/>
          <w:right w:val="nil"/>
          <w:between w:val="nil"/>
        </w:pBdr>
        <w:ind w:left="2155" w:right="90"/>
        <w:rPr>
          <w:rFonts w:ascii="Arial" w:eastAsia="Arial" w:hAnsi="Arial" w:cs="Arial"/>
          <w:color w:val="000000"/>
          <w:sz w:val="24"/>
          <w:szCs w:val="24"/>
        </w:rPr>
      </w:pPr>
    </w:p>
    <w:p w:rsidR="00580C2A" w:rsidRDefault="00580C2A">
      <w:pPr>
        <w:rPr>
          <w:rFonts w:ascii="Arial" w:eastAsia="Arial" w:hAnsi="Arial" w:cs="Arial"/>
          <w:sz w:val="10"/>
          <w:szCs w:val="10"/>
        </w:rPr>
      </w:pPr>
    </w:p>
    <w:p w:rsidR="00580C2A" w:rsidRDefault="003F6B74">
      <w:pPr>
        <w:numPr>
          <w:ilvl w:val="1"/>
          <w:numId w:val="1"/>
        </w:numPr>
        <w:pBdr>
          <w:top w:val="nil"/>
          <w:left w:val="nil"/>
          <w:bottom w:val="nil"/>
          <w:right w:val="nil"/>
          <w:between w:val="nil"/>
        </w:pBdr>
        <w:tabs>
          <w:tab w:val="left" w:pos="1160"/>
        </w:tabs>
        <w:ind w:right="200"/>
        <w:rPr>
          <w:color w:val="000000"/>
        </w:rPr>
      </w:pPr>
      <w:r>
        <w:rPr>
          <w:rFonts w:ascii="Arial" w:eastAsia="Arial" w:hAnsi="Arial" w:cs="Arial"/>
          <w:b/>
          <w:color w:val="000000"/>
          <w:sz w:val="24"/>
          <w:szCs w:val="24"/>
        </w:rPr>
        <w:t>Area D1 and D2—Social and Behavioral Sciences</w:t>
      </w:r>
      <w:r>
        <w:rPr>
          <w:rFonts w:ascii="Arial" w:eastAsia="Arial" w:hAnsi="Arial" w:cs="Arial"/>
          <w:color w:val="000000"/>
          <w:sz w:val="24"/>
          <w:szCs w:val="24"/>
        </w:rPr>
        <w:t>: These courses focus on people as members of society. These courses should do the following:</w:t>
      </w:r>
    </w:p>
    <w:p w:rsidR="00580C2A" w:rsidRDefault="00580C2A">
      <w:pPr>
        <w:rPr>
          <w:rFonts w:ascii="Arial" w:eastAsia="Arial" w:hAnsi="Arial" w:cs="Arial"/>
          <w:sz w:val="10"/>
          <w:szCs w:val="10"/>
        </w:rPr>
      </w:pPr>
    </w:p>
    <w:p w:rsidR="00580C2A" w:rsidRDefault="003F6B74">
      <w:pPr>
        <w:numPr>
          <w:ilvl w:val="2"/>
          <w:numId w:val="1"/>
        </w:numPr>
        <w:pBdr>
          <w:top w:val="nil"/>
          <w:left w:val="nil"/>
          <w:bottom w:val="nil"/>
          <w:right w:val="nil"/>
          <w:between w:val="nil"/>
        </w:pBdr>
        <w:tabs>
          <w:tab w:val="left" w:pos="1880"/>
        </w:tabs>
        <w:ind w:left="1880" w:right="293"/>
        <w:rPr>
          <w:color w:val="000000"/>
        </w:rPr>
      </w:pPr>
      <w:r>
        <w:rPr>
          <w:rFonts w:ascii="Arial" w:eastAsia="Arial" w:hAnsi="Arial" w:cs="Arial"/>
          <w:color w:val="000000"/>
          <w:sz w:val="24"/>
          <w:szCs w:val="24"/>
        </w:rPr>
        <w:t>Develop an awareness of the method of inquiry used by the social and behavior sciences.</w:t>
      </w:r>
    </w:p>
    <w:p w:rsidR="00580C2A" w:rsidRDefault="00580C2A">
      <w:pPr>
        <w:rPr>
          <w:rFonts w:ascii="Arial" w:eastAsia="Arial" w:hAnsi="Arial" w:cs="Arial"/>
          <w:sz w:val="10"/>
          <w:szCs w:val="10"/>
        </w:rPr>
      </w:pPr>
    </w:p>
    <w:p w:rsidR="00580C2A" w:rsidRDefault="003F6B74">
      <w:pPr>
        <w:numPr>
          <w:ilvl w:val="2"/>
          <w:numId w:val="1"/>
        </w:numPr>
        <w:pBdr>
          <w:top w:val="nil"/>
          <w:left w:val="nil"/>
          <w:bottom w:val="nil"/>
          <w:right w:val="nil"/>
          <w:between w:val="nil"/>
        </w:pBdr>
        <w:tabs>
          <w:tab w:val="left" w:pos="1880"/>
        </w:tabs>
        <w:ind w:left="1880" w:right="748"/>
        <w:rPr>
          <w:color w:val="000000"/>
        </w:rPr>
      </w:pPr>
      <w:r>
        <w:rPr>
          <w:rFonts w:ascii="Arial" w:eastAsia="Arial" w:hAnsi="Arial" w:cs="Arial"/>
          <w:color w:val="000000"/>
          <w:sz w:val="24"/>
          <w:szCs w:val="24"/>
        </w:rPr>
        <w:t>Stimulate critical thinking</w:t>
      </w:r>
      <w:r>
        <w:rPr>
          <w:rFonts w:ascii="Arial" w:eastAsia="Arial" w:hAnsi="Arial" w:cs="Arial"/>
          <w:color w:val="000000"/>
          <w:sz w:val="24"/>
          <w:szCs w:val="24"/>
        </w:rPr>
        <w:t xml:space="preserve"> about the ways people act and have acted in response to their societies.</w:t>
      </w:r>
    </w:p>
    <w:p w:rsidR="00580C2A" w:rsidRDefault="00580C2A">
      <w:pPr>
        <w:rPr>
          <w:rFonts w:ascii="Arial" w:eastAsia="Arial" w:hAnsi="Arial" w:cs="Arial"/>
          <w:sz w:val="10"/>
          <w:szCs w:val="10"/>
        </w:rPr>
      </w:pPr>
    </w:p>
    <w:p w:rsidR="00580C2A" w:rsidRDefault="003F6B74">
      <w:pPr>
        <w:numPr>
          <w:ilvl w:val="2"/>
          <w:numId w:val="1"/>
        </w:numPr>
        <w:pBdr>
          <w:top w:val="nil"/>
          <w:left w:val="nil"/>
          <w:bottom w:val="nil"/>
          <w:right w:val="nil"/>
          <w:between w:val="nil"/>
        </w:pBdr>
        <w:tabs>
          <w:tab w:val="left" w:pos="1880"/>
        </w:tabs>
        <w:ind w:left="1880" w:right="908"/>
        <w:rPr>
          <w:color w:val="000000"/>
        </w:rPr>
      </w:pPr>
      <w:r>
        <w:rPr>
          <w:rFonts w:ascii="Arial" w:eastAsia="Arial" w:hAnsi="Arial" w:cs="Arial"/>
          <w:color w:val="000000"/>
          <w:sz w:val="24"/>
          <w:szCs w:val="24"/>
        </w:rPr>
        <w:t>Promote appreciation of how societies and social subgroups operate.</w:t>
      </w:r>
    </w:p>
    <w:p w:rsidR="00580C2A" w:rsidRDefault="00580C2A">
      <w:pPr>
        <w:rPr>
          <w:rFonts w:ascii="Arial" w:eastAsia="Arial" w:hAnsi="Arial" w:cs="Arial"/>
          <w:sz w:val="10"/>
          <w:szCs w:val="10"/>
        </w:rPr>
      </w:pPr>
    </w:p>
    <w:p w:rsidR="00580C2A" w:rsidRDefault="003F6B74">
      <w:pPr>
        <w:pBdr>
          <w:top w:val="nil"/>
          <w:left w:val="nil"/>
          <w:bottom w:val="nil"/>
          <w:right w:val="nil"/>
          <w:between w:val="nil"/>
        </w:pBdr>
        <w:ind w:left="2155" w:right="90" w:hanging="435"/>
        <w:rPr>
          <w:rFonts w:ascii="Arial" w:eastAsia="Arial" w:hAnsi="Arial" w:cs="Arial"/>
          <w:color w:val="000000"/>
          <w:sz w:val="24"/>
          <w:szCs w:val="24"/>
        </w:rPr>
      </w:pPr>
      <w:r>
        <w:rPr>
          <w:rFonts w:ascii="Arial" w:eastAsia="Arial" w:hAnsi="Arial" w:cs="Arial"/>
          <w:color w:val="000000"/>
          <w:sz w:val="24"/>
          <w:szCs w:val="24"/>
        </w:rPr>
        <w:t xml:space="preserve">These courses include introductory or integrative survey courses in cultural anthropology, cultural geography, economics, history, political science, psychology, sociology, and </w:t>
      </w:r>
      <w:proofErr w:type="gramStart"/>
      <w:r>
        <w:rPr>
          <w:rFonts w:ascii="Arial" w:eastAsia="Arial" w:hAnsi="Arial" w:cs="Arial"/>
          <w:color w:val="000000"/>
          <w:sz w:val="24"/>
          <w:szCs w:val="24"/>
        </w:rPr>
        <w:t>related  disciplines</w:t>
      </w:r>
      <w:proofErr w:type="gramEnd"/>
      <w:r>
        <w:rPr>
          <w:rFonts w:ascii="Arial" w:eastAsia="Arial" w:hAnsi="Arial" w:cs="Arial"/>
          <w:color w:val="000000"/>
          <w:sz w:val="24"/>
          <w:szCs w:val="24"/>
        </w:rPr>
        <w:t xml:space="preserve">.  Through fulfillment of the Area D requirement, students </w:t>
      </w:r>
      <w:r>
        <w:rPr>
          <w:rFonts w:ascii="Arial" w:eastAsia="Arial" w:hAnsi="Arial" w:cs="Arial"/>
          <w:color w:val="000000"/>
          <w:sz w:val="24"/>
          <w:szCs w:val="24"/>
        </w:rPr>
        <w:t xml:space="preserve">will develop an understanding of problems and issues from the respective disciplinary perspectives and will examine issues in their contemporary as well as historical settings and in a variety of cultural contexts. </w:t>
      </w:r>
    </w:p>
    <w:p w:rsidR="00580C2A" w:rsidRDefault="00580C2A">
      <w:pPr>
        <w:pBdr>
          <w:top w:val="nil"/>
          <w:left w:val="nil"/>
          <w:bottom w:val="nil"/>
          <w:right w:val="nil"/>
          <w:between w:val="nil"/>
        </w:pBdr>
        <w:ind w:left="1160" w:right="609"/>
        <w:rPr>
          <w:rFonts w:ascii="Arial" w:eastAsia="Arial" w:hAnsi="Arial" w:cs="Arial"/>
          <w:color w:val="000000"/>
          <w:sz w:val="24"/>
          <w:szCs w:val="24"/>
        </w:rPr>
      </w:pPr>
    </w:p>
    <w:p w:rsidR="00580C2A" w:rsidRDefault="00580C2A">
      <w:pPr>
        <w:rPr>
          <w:rFonts w:ascii="Arial" w:eastAsia="Arial" w:hAnsi="Arial" w:cs="Arial"/>
          <w:sz w:val="10"/>
          <w:szCs w:val="10"/>
        </w:rPr>
      </w:pPr>
    </w:p>
    <w:p w:rsidR="00580C2A" w:rsidRDefault="003F6B74">
      <w:pPr>
        <w:pBdr>
          <w:top w:val="nil"/>
          <w:left w:val="nil"/>
          <w:bottom w:val="nil"/>
          <w:right w:val="nil"/>
          <w:between w:val="nil"/>
        </w:pBdr>
        <w:ind w:left="2155" w:right="90" w:hanging="435"/>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r>
      <w:r>
        <w:rPr>
          <w:rFonts w:ascii="Arial" w:eastAsia="Arial" w:hAnsi="Arial" w:cs="Arial"/>
          <w:b/>
          <w:color w:val="000000"/>
          <w:sz w:val="24"/>
          <w:szCs w:val="24"/>
        </w:rPr>
        <w:t>Area D1:  Social, Political, and Ec</w:t>
      </w:r>
      <w:r>
        <w:rPr>
          <w:rFonts w:ascii="Arial" w:eastAsia="Arial" w:hAnsi="Arial" w:cs="Arial"/>
          <w:b/>
          <w:color w:val="000000"/>
          <w:sz w:val="24"/>
          <w:szCs w:val="24"/>
        </w:rPr>
        <w:t>onomic Institutions</w:t>
      </w:r>
    </w:p>
    <w:p w:rsidR="00580C2A" w:rsidRDefault="003F6B74">
      <w:pPr>
        <w:pBdr>
          <w:top w:val="nil"/>
          <w:left w:val="nil"/>
          <w:bottom w:val="nil"/>
          <w:right w:val="nil"/>
          <w:between w:val="nil"/>
        </w:pBdr>
        <w:ind w:left="2155" w:right="90"/>
        <w:rPr>
          <w:rFonts w:ascii="Arial" w:eastAsia="Arial" w:hAnsi="Arial" w:cs="Arial"/>
          <w:color w:val="000000"/>
          <w:sz w:val="24"/>
          <w:szCs w:val="24"/>
        </w:rPr>
      </w:pPr>
      <w:r>
        <w:rPr>
          <w:rFonts w:ascii="Arial" w:eastAsia="Arial" w:hAnsi="Arial" w:cs="Arial"/>
          <w:color w:val="000000"/>
          <w:sz w:val="24"/>
          <w:szCs w:val="24"/>
        </w:rPr>
        <w:t xml:space="preserve">Students learn from courses in multiple disciplines that human social, political and economic institutions and behavior are inextricably interwoven. </w:t>
      </w:r>
    </w:p>
    <w:p w:rsidR="00580C2A" w:rsidRDefault="00580C2A">
      <w:pPr>
        <w:pBdr>
          <w:top w:val="nil"/>
          <w:left w:val="nil"/>
          <w:bottom w:val="nil"/>
          <w:right w:val="nil"/>
          <w:between w:val="nil"/>
        </w:pBdr>
        <w:ind w:right="90"/>
        <w:rPr>
          <w:rFonts w:ascii="Arial" w:eastAsia="Arial" w:hAnsi="Arial" w:cs="Arial"/>
          <w:color w:val="000000"/>
          <w:sz w:val="24"/>
          <w:szCs w:val="24"/>
        </w:rPr>
      </w:pPr>
    </w:p>
    <w:p w:rsidR="00580C2A" w:rsidRDefault="003F6B74">
      <w:pPr>
        <w:tabs>
          <w:tab w:val="left" w:pos="840"/>
        </w:tabs>
        <w:ind w:left="2155" w:right="932" w:hanging="2155"/>
        <w:rPr>
          <w:rFonts w:ascii="Arial" w:eastAsia="Arial" w:hAnsi="Arial" w:cs="Arial"/>
          <w:sz w:val="24"/>
          <w:szCs w:val="24"/>
        </w:rPr>
      </w:pPr>
      <w:r>
        <w:tab/>
      </w:r>
      <w:r>
        <w:rPr>
          <w:rFonts w:ascii="Arial" w:eastAsia="Arial" w:hAnsi="Arial" w:cs="Arial"/>
          <w:sz w:val="24"/>
          <w:szCs w:val="24"/>
        </w:rPr>
        <w:t xml:space="preserve">             2)   </w:t>
      </w:r>
      <w:r>
        <w:rPr>
          <w:rFonts w:ascii="Arial" w:eastAsia="Arial" w:hAnsi="Arial" w:cs="Arial"/>
          <w:b/>
          <w:sz w:val="24"/>
          <w:szCs w:val="24"/>
        </w:rPr>
        <w:t>Area D2:  Social Behavior and Self-Understanding</w:t>
      </w:r>
    </w:p>
    <w:p w:rsidR="00580C2A" w:rsidRDefault="003F6B74">
      <w:pPr>
        <w:tabs>
          <w:tab w:val="left" w:pos="840"/>
        </w:tabs>
        <w:ind w:left="2155" w:right="932" w:hanging="2155"/>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Content may include topics such as human behavior, sexuality, social relationships, and human development including lifespan, personal, and career development.</w:t>
      </w:r>
    </w:p>
    <w:sectPr w:rsidR="00580C2A">
      <w:headerReference w:type="default" r:id="rId7"/>
      <w:pgSz w:w="12240" w:h="15840"/>
      <w:pgMar w:top="660" w:right="1380" w:bottom="280" w:left="13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6B74">
      <w:r>
        <w:separator/>
      </w:r>
    </w:p>
  </w:endnote>
  <w:endnote w:type="continuationSeparator" w:id="0">
    <w:p w:rsidR="00000000" w:rsidRDefault="003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6B74">
      <w:r>
        <w:separator/>
      </w:r>
    </w:p>
  </w:footnote>
  <w:footnote w:type="continuationSeparator" w:id="0">
    <w:p w:rsidR="00000000" w:rsidRDefault="003F6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2A" w:rsidRDefault="003F6B74">
    <w:pPr>
      <w:pBdr>
        <w:top w:val="nil"/>
        <w:left w:val="nil"/>
        <w:bottom w:val="nil"/>
        <w:right w:val="nil"/>
        <w:between w:val="nil"/>
      </w:pBdr>
      <w:tabs>
        <w:tab w:val="center" w:pos="4680"/>
        <w:tab w:val="right" w:pos="9360"/>
      </w:tabs>
      <w:rPr>
        <w:color w:val="000000"/>
      </w:rPr>
    </w:pPr>
    <w:r>
      <w:rPr>
        <w:color w:val="000000"/>
      </w:rPr>
      <w:t>DRAFT MAY 2018 (proposed effective dates July 2018-August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3533"/>
    <w:multiLevelType w:val="multilevel"/>
    <w:tmpl w:val="43D81842"/>
    <w:lvl w:ilvl="0">
      <w:start w:val="1"/>
      <w:numFmt w:val="upperLetter"/>
      <w:lvlText w:val="%1."/>
      <w:lvlJc w:val="left"/>
      <w:pPr>
        <w:ind w:left="820" w:hanging="720"/>
      </w:pPr>
      <w:rPr>
        <w:rFonts w:ascii="Arial" w:eastAsia="Arial" w:hAnsi="Arial" w:cs="Arial"/>
        <w:sz w:val="24"/>
        <w:szCs w:val="24"/>
      </w:rPr>
    </w:lvl>
    <w:lvl w:ilvl="1">
      <w:start w:val="1"/>
      <w:numFmt w:val="decimal"/>
      <w:lvlText w:val="%2."/>
      <w:lvlJc w:val="left"/>
      <w:pPr>
        <w:ind w:left="1540" w:hanging="720"/>
      </w:pPr>
      <w:rPr>
        <w:rFonts w:ascii="Arial" w:eastAsia="Arial" w:hAnsi="Arial" w:cs="Arial"/>
        <w:sz w:val="24"/>
        <w:szCs w:val="24"/>
      </w:rPr>
    </w:lvl>
    <w:lvl w:ilvl="2">
      <w:start w:val="1"/>
      <w:numFmt w:val="lowerLetter"/>
      <w:lvlText w:val="%3."/>
      <w:lvlJc w:val="left"/>
      <w:pPr>
        <w:ind w:left="2259" w:hanging="720"/>
      </w:pPr>
      <w:rPr>
        <w:rFonts w:ascii="Arial" w:eastAsia="Arial" w:hAnsi="Arial" w:cs="Arial"/>
        <w:sz w:val="24"/>
        <w:szCs w:val="24"/>
      </w:rPr>
    </w:lvl>
    <w:lvl w:ilvl="3">
      <w:start w:val="1"/>
      <w:numFmt w:val="decimal"/>
      <w:lvlText w:val="%4)"/>
      <w:lvlJc w:val="left"/>
      <w:pPr>
        <w:ind w:left="2980" w:hanging="720"/>
      </w:pPr>
      <w:rPr>
        <w:rFonts w:ascii="Arial" w:eastAsia="Arial" w:hAnsi="Arial" w:cs="Arial"/>
        <w:sz w:val="24"/>
        <w:szCs w:val="24"/>
      </w:rPr>
    </w:lvl>
    <w:lvl w:ilvl="4">
      <w:start w:val="1"/>
      <w:numFmt w:val="bullet"/>
      <w:lvlText w:val="•"/>
      <w:lvlJc w:val="left"/>
      <w:pPr>
        <w:ind w:left="2280" w:hanging="720"/>
      </w:pPr>
    </w:lvl>
    <w:lvl w:ilvl="5">
      <w:start w:val="1"/>
      <w:numFmt w:val="bullet"/>
      <w:lvlText w:val="•"/>
      <w:lvlJc w:val="left"/>
      <w:pPr>
        <w:ind w:left="2600" w:hanging="720"/>
      </w:pPr>
    </w:lvl>
    <w:lvl w:ilvl="6">
      <w:start w:val="1"/>
      <w:numFmt w:val="bullet"/>
      <w:lvlText w:val="•"/>
      <w:lvlJc w:val="left"/>
      <w:pPr>
        <w:ind w:left="2980" w:hanging="720"/>
      </w:pPr>
    </w:lvl>
    <w:lvl w:ilvl="7">
      <w:start w:val="1"/>
      <w:numFmt w:val="bullet"/>
      <w:lvlText w:val="•"/>
      <w:lvlJc w:val="left"/>
      <w:pPr>
        <w:ind w:left="4520" w:hanging="720"/>
      </w:pPr>
    </w:lvl>
    <w:lvl w:ilvl="8">
      <w:start w:val="1"/>
      <w:numFmt w:val="bullet"/>
      <w:lvlText w:val="•"/>
      <w:lvlJc w:val="left"/>
      <w:pPr>
        <w:ind w:left="6060" w:hanging="720"/>
      </w:pPr>
    </w:lvl>
  </w:abstractNum>
  <w:abstractNum w:abstractNumId="1">
    <w:nsid w:val="7CA813D5"/>
    <w:multiLevelType w:val="multilevel"/>
    <w:tmpl w:val="04C2F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2A"/>
    <w:rsid w:val="003F6B74"/>
    <w:rsid w:val="0058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F4AA8-FF7F-4E96-B594-13354CDC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Zarske</dc:creator>
  <cp:lastModifiedBy>Cindy Zarske</cp:lastModifiedBy>
  <cp:revision>2</cp:revision>
  <dcterms:created xsi:type="dcterms:W3CDTF">2018-11-30T15:59:00Z</dcterms:created>
  <dcterms:modified xsi:type="dcterms:W3CDTF">2018-11-30T15:59:00Z</dcterms:modified>
</cp:coreProperties>
</file>